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69" w:name="_GoBack"/>
      <w:r>
        <w:rPr>
          <w:rFonts w:hint="default" w:ascii="Times New Roman" w:hAnsi="Times New Roman" w:eastAsia="方正小标宋简体" w:cs="Times New Roman"/>
          <w:color w:val="000000" w:themeColor="text1"/>
          <w:sz w:val="44"/>
          <w:szCs w:val="44"/>
          <w14:textFill>
            <w14:solidFill>
              <w14:schemeClr w14:val="tx1"/>
            </w14:solidFill>
          </w14:textFill>
        </w:rPr>
        <w:t>目  录</w:t>
      </w:r>
    </w:p>
    <w:p>
      <w:pPr>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第一章  发展环境</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发展成就</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存在的主要问题</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面临形势</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第二章  总体要求</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1</w:t>
      </w:r>
      <w:r>
        <w:rPr>
          <w:rFonts w:hint="eastAsia" w:ascii="Times New Roman" w:hAnsi="Times New Roman" w:eastAsia="仿宋_GB2312" w:cs="Times New Roman"/>
          <w:b/>
          <w:bCs/>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指导思想</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基本原则</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战略定位</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主要目标</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eastAsia" w:ascii="Times New Roman" w:hAnsi="Times New Roman" w:eastAsia="仿宋_GB2312" w:cs="Times New Roman"/>
          <w:color w:val="000000" w:themeColor="text1"/>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第三章  坚持生态优先绿色发展 坚定筑牢生态安全屏障</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2</w:t>
      </w:r>
      <w:r>
        <w:rPr>
          <w:rFonts w:hint="eastAsia" w:ascii="Times New Roman" w:hAnsi="Times New Roman" w:eastAsia="仿宋_GB2312" w:cs="Times New Roman"/>
          <w:b/>
          <w:bCs/>
          <w:color w:val="000000" w:themeColor="text1"/>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优化国土空间开发保护格局</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2</w:t>
      </w:r>
      <w:r>
        <w:rPr>
          <w:rFonts w:hint="eastAsia"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加强生态系统保护修复力度</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2</w:t>
      </w:r>
      <w:r>
        <w:rPr>
          <w:rFonts w:hint="eastAsia" w:ascii="Times New Roman" w:hAnsi="Times New Roman" w:eastAsia="仿宋_GB2312" w:cs="Times New Roman"/>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巩固和提升环境质量</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2</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推进资源节约集约高效利用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第五节  推行绿色低碳发展模式</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第四章  加快集中集聚集约发展 构建现代产业体系</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2</w:t>
      </w:r>
      <w:r>
        <w:rPr>
          <w:rFonts w:hint="eastAsia" w:ascii="Times New Roman" w:hAnsi="Times New Roman" w:eastAsia="仿宋_GB2312" w:cs="Times New Roman"/>
          <w:b/>
          <w:bCs/>
          <w:color w:val="000000" w:themeColor="text1"/>
          <w:lang w:val="en-US" w:eastAsia="zh-CN"/>
          <w14:textFill>
            <w14:solidFill>
              <w14:schemeClr w14:val="tx1"/>
            </w14:solidFill>
          </w14:textFill>
        </w:rPr>
        <w:t>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发展现代农牧业</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28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构建现代工业体系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32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壮大现代服务业</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3</w:t>
      </w:r>
      <w:r>
        <w:rPr>
          <w:rFonts w:hint="eastAsia" w:ascii="Times New Roman" w:hAnsi="Times New Roman" w:eastAsia="仿宋_GB2312" w:cs="Times New Roman"/>
          <w:color w:val="000000" w:themeColor="text1"/>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增强创新驱动支撑作用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4</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第五章  着力推进新型城镇化建设 有效提升县城承载能力</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4</w:t>
      </w:r>
      <w:r>
        <w:rPr>
          <w:rFonts w:hint="eastAsia" w:ascii="Times New Roman" w:hAnsi="Times New Roman" w:eastAsia="仿宋_GB2312" w:cs="Times New Roman"/>
          <w:b/>
          <w:bCs/>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构建新型城镇体系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4</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完善基础设施配套建设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4</w:t>
      </w:r>
      <w:r>
        <w:rPr>
          <w:rFonts w:hint="eastAsia" w:ascii="Times New Roman" w:hAnsi="Times New Roman" w:eastAsia="仿宋_GB2312" w:cs="Times New Roman"/>
          <w:color w:val="000000" w:themeColor="text1"/>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提升城市品位与特色</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47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加快产城深度融合</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47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第五节  建设智慧城市</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48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spacing w:val="-17"/>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17"/>
          <w14:textFill>
            <w14:solidFill>
              <w14:schemeClr w14:val="tx1"/>
            </w14:solidFill>
          </w14:textFill>
        </w:rPr>
        <w:t>第六章  强化完善基础设施网络体系 着力增强发展支撑保障能力</w:t>
      </w:r>
      <w:r>
        <w:rPr>
          <w:rFonts w:hint="default" w:ascii="Times New Roman" w:hAnsi="Times New Roman" w:eastAsia="仿宋_GB2312" w:cs="Times New Roman"/>
          <w:b/>
          <w:bCs/>
          <w:color w:val="000000" w:themeColor="text1"/>
          <w:spacing w:val="-17"/>
          <w:lang w:eastAsia="zh-CN"/>
          <w14:textFill>
            <w14:solidFill>
              <w14:schemeClr w14:val="tx1"/>
            </w14:solidFill>
          </w14:textFill>
        </w:rPr>
        <w:t>…</w:t>
      </w:r>
      <w:r>
        <w:rPr>
          <w:rFonts w:hint="eastAsia" w:ascii="Times New Roman" w:hAnsi="Times New Roman" w:eastAsia="仿宋_GB2312" w:cs="Times New Roman"/>
          <w:b/>
          <w:bCs/>
          <w:color w:val="000000" w:themeColor="text1"/>
          <w:spacing w:val="-17"/>
          <w:lang w:val="en-US" w:eastAsia="zh-CN"/>
          <w14:textFill>
            <w14:solidFill>
              <w14:schemeClr w14:val="tx1"/>
            </w14:solidFill>
          </w14:textFill>
        </w:rPr>
        <w:t>48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布局新型基础设施</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48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构建畅通便捷的交通运输网络</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49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优化电力基础设施</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完善水利基础设施</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第七章 深化扩大对外开放 进一步释放经济发展活力</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5</w:t>
      </w:r>
      <w:r>
        <w:rPr>
          <w:rFonts w:hint="eastAsia" w:ascii="Times New Roman" w:hAnsi="Times New Roman" w:eastAsia="仿宋_GB2312" w:cs="Times New Roman"/>
          <w:b/>
          <w:bCs/>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强化与北京全方位合作</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精准扩大有效投资</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激发对外开放活力</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提升招商引资效能</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第八章  切实加强重点领域改革 持续优化营商和发展环境</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5</w:t>
      </w:r>
      <w:r>
        <w:rPr>
          <w:rFonts w:hint="eastAsia" w:ascii="Times New Roman" w:hAnsi="Times New Roman" w:eastAsia="仿宋_GB2312" w:cs="Times New Roman"/>
          <w:b/>
          <w:bCs/>
          <w:color w:val="000000" w:themeColor="text1"/>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推进农村牧区综合改革</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深化放管服改革</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完善要素市场化配置</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color w:val="000000" w:themeColor="text1"/>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健全社会信用体系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57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第九章  全面实施乡村振兴战略 加快推进农村牧区现代化</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57</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巩固脱贫攻坚成果  实现与乡村振兴有效衔接</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58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培育壮大农牧业市场主体</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59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实施乡村建设行动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60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第十章  增进人民群众福祉 持续建设幸福和谐左旗</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6</w:t>
      </w:r>
      <w:r>
        <w:rPr>
          <w:rFonts w:hint="eastAsia" w:ascii="Times New Roman" w:hAnsi="Times New Roman" w:eastAsia="仿宋_GB2312" w:cs="Times New Roman"/>
          <w:b/>
          <w:bCs/>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提高居民收入水平</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6</w:t>
      </w:r>
      <w:r>
        <w:rPr>
          <w:rFonts w:hint="eastAsia"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实施就业优先战略</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6</w:t>
      </w:r>
      <w:r>
        <w:rPr>
          <w:rFonts w:hint="eastAsia" w:ascii="Times New Roman" w:hAnsi="Times New Roman" w:eastAsia="仿宋_GB2312" w:cs="Times New Roman"/>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完善社会保障体系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建设高质量教育体系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eastAsia" w:ascii="Times New Roman" w:hAnsi="Times New Roman" w:eastAsia="仿宋_GB2312" w:cs="Times New Roman"/>
          <w:color w:val="000000" w:themeColor="text1"/>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第五节  推动健康左旗建设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66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第六节  促进人口均衡发展</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68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第十一章  繁荣文化体育事业 着力提升地区文化软实力</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69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推进文明巴林左旗建设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69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完善公共文化服务体系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加强文物保护利用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7</w:t>
      </w:r>
      <w:r>
        <w:rPr>
          <w:rFonts w:hint="eastAsia" w:ascii="Times New Roman" w:hAnsi="Times New Roman" w:eastAsia="仿宋_GB2312" w:cs="Times New Roman"/>
          <w:color w:val="000000" w:themeColor="text1"/>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加快发展体育事业</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7</w:t>
      </w:r>
      <w:r>
        <w:rPr>
          <w:rFonts w:hint="eastAsia" w:ascii="Times New Roman" w:hAnsi="Times New Roman" w:eastAsia="仿宋_GB2312" w:cs="Times New Roman"/>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第十二章  统筹发展和安全 坚决守牢安全发展底线</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7</w:t>
      </w:r>
      <w:r>
        <w:rPr>
          <w:rFonts w:hint="eastAsia" w:ascii="Times New Roman" w:hAnsi="Times New Roman" w:eastAsia="仿宋_GB2312" w:cs="Times New Roman"/>
          <w:b/>
          <w:bCs/>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坚决维护政治安全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7</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防范化解重大风险</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7</w:t>
      </w:r>
      <w:r>
        <w:rPr>
          <w:rFonts w:hint="eastAsia" w:ascii="Times New Roman" w:hAnsi="Times New Roman" w:eastAsia="仿宋_GB2312" w:cs="Times New Roman"/>
          <w:color w:val="000000" w:themeColor="text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巩固民族团结稳定大局</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7</w:t>
      </w:r>
      <w:r>
        <w:rPr>
          <w:rFonts w:hint="eastAsia" w:ascii="Times New Roman" w:hAnsi="Times New Roman" w:eastAsia="仿宋_GB2312" w:cs="Times New Roman"/>
          <w:color w:val="000000" w:themeColor="text1"/>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维护社会安全稳定</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第五节  确保人民生命财产安全</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76</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第十三章  加强党的集中统一领导 全力保障规划实施</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78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第一节  坚持党的全面领导</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第二节  深化党风廉政建设和反腐败斗争</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78</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第三节  不断加强法治左旗建设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79</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第四节  全面推进社会主义政治建设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8</w:t>
      </w:r>
      <w:r>
        <w:rPr>
          <w:rFonts w:hint="eastAsia" w:ascii="Times New Roman" w:hAnsi="Times New Roman" w:eastAsia="仿宋_GB2312" w:cs="Times New Roman"/>
          <w:color w:val="000000" w:themeColor="text1"/>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第五节  切实加强规划实施管理</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8</w:t>
      </w:r>
      <w:r>
        <w:rPr>
          <w:rFonts w:hint="eastAsia" w:ascii="Times New Roman" w:hAnsi="Times New Roman" w:eastAsia="仿宋_GB2312" w:cs="Times New Roman"/>
          <w:color w:val="000000" w:themeColor="text1"/>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jc w:val="distribute"/>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附件：巴林左旗“十四五”期间重点建设项目表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p>
    <w:p>
      <w:pPr>
        <w:pStyle w:val="2"/>
        <w:rPr>
          <w:rFonts w:hint="default" w:ascii="Times New Roman" w:hAnsi="Times New Roman" w:cs="Times New Roman"/>
          <w:color w:val="000000" w:themeColor="text1"/>
          <w:szCs w:val="32"/>
          <w14:textFill>
            <w14:solidFill>
              <w14:schemeClr w14:val="tx1"/>
            </w14:solidFill>
          </w14:textFill>
        </w:rPr>
      </w:pPr>
    </w:p>
    <w:p>
      <w:pPr>
        <w:rPr>
          <w:rFonts w:hint="default" w:ascii="Times New Roman" w:hAnsi="Times New Roman" w:cs="Times New Roman"/>
          <w:color w:val="000000" w:themeColor="text1"/>
          <w:szCs w:val="32"/>
          <w14:textFill>
            <w14:solidFill>
              <w14:schemeClr w14:val="tx1"/>
            </w14:solidFill>
          </w14:textFill>
        </w:rPr>
      </w:pPr>
    </w:p>
    <w:p>
      <w:pPr>
        <w:pStyle w:val="2"/>
        <w:rPr>
          <w:rFonts w:hint="default" w:ascii="Times New Roman" w:hAnsi="Times New Roman" w:cs="Times New Roman"/>
          <w:color w:val="000000" w:themeColor="text1"/>
          <w:szCs w:val="32"/>
          <w14:textFill>
            <w14:solidFill>
              <w14:schemeClr w14:val="tx1"/>
            </w14:solidFill>
          </w14:textFill>
        </w:rPr>
      </w:pPr>
    </w:p>
    <w:p>
      <w:pPr>
        <w:rPr>
          <w:rFonts w:hint="default" w:ascii="Times New Roman" w:hAnsi="Times New Roman" w:cs="Times New Roman"/>
          <w:color w:val="000000" w:themeColor="text1"/>
          <w:szCs w:val="32"/>
          <w14:textFill>
            <w14:solidFill>
              <w14:schemeClr w14:val="tx1"/>
            </w14:solidFill>
          </w14:textFill>
        </w:rPr>
      </w:pPr>
    </w:p>
    <w:p>
      <w:pPr>
        <w:pStyle w:val="2"/>
        <w:rPr>
          <w:rFonts w:hint="default" w:ascii="Times New Roman" w:hAnsi="Times New Roman" w:cs="Times New Roman"/>
          <w:color w:val="000000" w:themeColor="text1"/>
          <w:szCs w:val="32"/>
          <w14:textFill>
            <w14:solidFill>
              <w14:schemeClr w14:val="tx1"/>
            </w14:solidFill>
          </w14:textFill>
        </w:rPr>
      </w:pPr>
    </w:p>
    <w:p>
      <w:pPr>
        <w:rPr>
          <w:rFonts w:hint="default" w:ascii="Times New Roman" w:hAnsi="Times New Roman" w:cs="Times New Roman"/>
          <w:color w:val="000000" w:themeColor="text1"/>
          <w:szCs w:val="32"/>
          <w14:textFill>
            <w14:solidFill>
              <w14:schemeClr w14:val="tx1"/>
            </w14:solidFill>
          </w14:textFill>
        </w:rPr>
      </w:pPr>
    </w:p>
    <w:p>
      <w:pPr>
        <w:pStyle w:val="2"/>
        <w:rPr>
          <w:rFonts w:hint="default" w:ascii="Times New Roman" w:hAnsi="Times New Roman" w:cs="Times New Roman"/>
          <w:color w:val="000000" w:themeColor="text1"/>
          <w:szCs w:val="32"/>
          <w14:textFill>
            <w14:solidFill>
              <w14:schemeClr w14:val="tx1"/>
            </w14:solidFill>
          </w14:textFill>
        </w:rPr>
      </w:pPr>
    </w:p>
    <w:p>
      <w:pPr>
        <w:rPr>
          <w:rFonts w:hint="default" w:ascii="Times New Roman" w:hAnsi="Times New Roman" w:cs="Times New Roman"/>
          <w:color w:val="000000" w:themeColor="text1"/>
          <w:szCs w:val="32"/>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sectPr>
          <w:footerReference r:id="rId3" w:type="default"/>
          <w:pgSz w:w="11906" w:h="16838"/>
          <w:pgMar w:top="1985" w:right="1418" w:bottom="1701" w:left="1418" w:header="851" w:footer="992" w:gutter="0"/>
          <w:pgNumType w:fmt="numberInDash"/>
          <w:cols w:space="425" w:num="1"/>
          <w:docGrid w:type="lines" w:linePitch="312" w:charSpace="0"/>
        </w:sect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十四五”时期是我国全面建成小康社会、实现第一个百年奋斗目标之后，乘势而上开启全面建设社会主义现代化国家新征程、向第二个百年奋斗目标进军的第一个五年，也是巴林左旗走“生态优先、绿色发展”高质量发展新路子，实现跨越发展的关键时期。根据《中共巴林左旗委关于制定国民经济和社会发展第十四个五年规划和二〇三五年远景目标的建议》，制定形成《巴林左旗国民经济和社会发展第十四个五年规划和二〇三五年远景目标纲要》，作为全旗各族人民今后五年的行动纲领，明确政府工作重点，引导规范市场主体行为，推进全旗经济和社会快速健康发展，具有十分重要的意义。</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4"/>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bookmarkStart w:id="0" w:name="_Toc64916013"/>
      <w:r>
        <w:rPr>
          <w:rFonts w:hint="default" w:ascii="Times New Roman" w:hAnsi="Times New Roman" w:eastAsia="黑体" w:cs="Times New Roman"/>
          <w:color w:val="000000" w:themeColor="text1"/>
          <w14:textFill>
            <w14:solidFill>
              <w14:schemeClr w14:val="tx1"/>
            </w14:solidFill>
          </w14:textFill>
        </w:rPr>
        <w:t xml:space="preserve"> 发展环境</w:t>
      </w:r>
      <w:bookmarkEnd w:id="0"/>
    </w:p>
    <w:p>
      <w:pPr>
        <w:numPr>
          <w:ilvl w:val="0"/>
          <w:numId w:val="0"/>
        </w:numPr>
        <w:rPr>
          <w:rFonts w:hint="default"/>
          <w:color w:val="000000" w:themeColor="text1"/>
          <w14:textFill>
            <w14:solidFill>
              <w14:schemeClr w14:val="tx1"/>
            </w14:solidFill>
          </w14:textFill>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1" w:name="_Toc64916014"/>
      <w:r>
        <w:rPr>
          <w:rFonts w:hint="default" w:ascii="Times New Roman" w:hAnsi="Times New Roman" w:eastAsia="楷体_GB2312" w:cs="Times New Roman"/>
          <w:color w:val="000000" w:themeColor="text1"/>
          <w14:textFill>
            <w14:solidFill>
              <w14:schemeClr w14:val="tx1"/>
            </w14:solidFill>
          </w14:textFill>
        </w:rPr>
        <w:t>第一节  发展成就</w:t>
      </w:r>
      <w:bookmarkEnd w:id="1"/>
    </w:p>
    <w:p>
      <w:p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十三五”时期是我旗发展进程中极不平凡的五年。旗委、旗政府坚持以习近平新时代中国特色社会主义思想为指导，全面贯彻落实习近平总书记关于内蒙古重要讲话重要指示批示精神，团结带领全旗各族干部群众牢记嘱托、感恩奋进，沉着应对错综复杂的内外部环境和艰巨繁重的改革发展任务，着力推进“稳增长、促改革、调结构、惠民生、防风险、保稳定”各项工作，坚决打赢三大攻坚战，持续深化供给侧结构性改革，统筹新冠肺炎疫情防控和经济社会发展，扎实做好“六稳”工作，全面落实“六保”任务，保持经济发展稳中向好，社会大局和谐稳定，重大战略任务和重点工程项目落地见效。“十三五”规划任务基本完成，决胜全面建成小康社会取得决定性成就，为开启全面建设社会主义现代化新征程奠定了坚实基础。</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（一）综合经济实力稳步提升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全旗地区生产总值从2015年的87.8亿元跃升至2020年的124.2亿元，年均增长4.9%；人均GDP达到3.95万元，年均增长5.2%；五年固定资产投资累计完成184亿元，年均增长5.1 %；一般公共预算收入和支出分别达到4.1亿元和37.08亿元，年均增长分别达到6.71%和4.1%；社会消费品零售总额达到44.8亿元，年均增长5.8%；城镇和农村牧区常住居民人均可支配收入分别达到31181元和12373元，年均增长分别达到6.9%和9.1%，持续跑赢经济增速。</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（二）三大攻坚战取得决定性进展</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脱贫攻坚大获全胜。</w:t>
      </w:r>
      <w:r>
        <w:rPr>
          <w:rFonts w:hint="default" w:ascii="Times New Roman" w:hAnsi="Times New Roman" w:eastAsia="仿宋_GB2312" w:cs="Times New Roman"/>
          <w:color w:val="000000" w:themeColor="text1"/>
          <w:szCs w:val="32"/>
          <w14:textFill>
            <w14:solidFill>
              <w14:schemeClr w14:val="tx1"/>
            </w14:solidFill>
          </w14:textFill>
        </w:rPr>
        <w:t>全面落实精准扶贫方略，派出驻村干部680人、帮扶责任人4652人，整合投入各类扶贫资金22.3亿元。加大产业带贫效应，集中培育壮大笤帚苗、肉牛、肉驴三大主导产业，通过直接参与、资产收益、订单农牧业和带动就业等带贫方式把更多贫困户吸附在产业链上，广泛激发贫困群众的内生动力，5.2万贫困人口、92个贫困村全部脱贫出列，脱贫监测户和边缘易致贫户“两类人群”已全部消除致贫风险，全旗贫困人口人均纯收入达到6000元以上，以优异成绩退出国家贫困县序列。笤帚苗产业“五链统筹助贫模式”荣获“全球减贫最佳案例”。</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生态环境质量持续改善。</w:t>
      </w:r>
      <w:r>
        <w:rPr>
          <w:rFonts w:hint="default" w:ascii="Times New Roman" w:hAnsi="Times New Roman" w:eastAsia="仿宋_GB2312" w:cs="Times New Roman"/>
          <w:color w:val="000000" w:themeColor="text1"/>
          <w:szCs w:val="32"/>
          <w14:textFill>
            <w14:solidFill>
              <w14:schemeClr w14:val="tx1"/>
            </w14:solidFill>
          </w14:textFill>
        </w:rPr>
        <w:t>持续加强大气、水、土壤污染防治力度，通过升级改造、整合搬迁、关停取缔等有效手段，全方位治理污染企业，工业企业污染物排放环保达标率100%，林东城区污水收集处理率达到95%以上，燃煤锅炉淘汰及提标改造全面完成，全旗化学需氧量、氨氮、二氧化硫、氮氧化物排放</w:t>
      </w:r>
      <w:r>
        <w:rPr>
          <w:rFonts w:hint="eastAsia" w:ascii="Times New Roman" w:hAnsi="Times New Roman" w:eastAsia="仿宋_GB2312" w:cs="Times New Roman"/>
          <w:color w:val="000000" w:themeColor="text1"/>
          <w:szCs w:val="32"/>
          <w:lang w:eastAsia="zh-CN"/>
          <w14:textFill>
            <w14:solidFill>
              <w14:schemeClr w14:val="tx1"/>
            </w14:solidFill>
          </w14:textFill>
        </w:rPr>
        <w:t>指标</w:t>
      </w:r>
      <w:r>
        <w:rPr>
          <w:rFonts w:hint="default" w:ascii="Times New Roman" w:hAnsi="Times New Roman" w:eastAsia="仿宋_GB2312" w:cs="Times New Roman"/>
          <w:color w:val="000000" w:themeColor="text1"/>
          <w:szCs w:val="32"/>
          <w14:textFill>
            <w14:solidFill>
              <w14:schemeClr w14:val="tx1"/>
            </w14:solidFill>
          </w14:textFill>
        </w:rPr>
        <w:t>超额完成“十三五”目标任务，空气质量优良天数比例达到95%以上。地表水、饮用水水源地、重点区域地下水和污染状况实现全面监测，水功能区保护不断加强，水质状况明显改善。地表水达到或好于III类比例达85.7%，无劣V类水体。坚决保护农业用地土壤环境，不断推动城乡生活垃圾无害化处理，进一步加强重金属污染防治，全旗土壤安全得到有效保障。完成中央生态环境保护督察及中央环保督察“回头看”反馈意见整改落实。乌力吉沐沦河湿地公园成为全市首个国家级湿地公园，琥珀沟水利枢纽工程累计完成投资3.7亿元，新增营造林86.8万亩，森林覆盖率由2015年的34.5%提高到39.02%。矿业生态发展步伐加快，创建自治区级以上绿色矿山7家，完成矿山地质环境治理任务，34家无主矿山完成生态恢复6500亩。</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防范化解重大风险取得积极成效。</w:t>
      </w:r>
      <w:r>
        <w:rPr>
          <w:rFonts w:hint="default" w:ascii="Times New Roman" w:hAnsi="Times New Roman" w:eastAsia="仿宋_GB2312" w:cs="Times New Roman"/>
          <w:color w:val="000000" w:themeColor="text1"/>
          <w:szCs w:val="32"/>
          <w14:textFill>
            <w14:solidFill>
              <w14:schemeClr w14:val="tx1"/>
            </w14:solidFill>
          </w14:textFill>
        </w:rPr>
        <w:t>以防范化解金融风险为突破口，组织成立专项领导小组，制定出台制度文件，守住了不发生区域性金融风险的底线。持续压缩一般性支出和“三公”经费，政府投资项目停建、缓建、“瘦身”，扩大政府性基金收入。严格贯彻落实上级关于防范化解地方政府债务风险的有关要求，加快存量债务化解。核实梳理政府债务底数，分类制定政府隐性债务清偿计划，通过盘活存量资金、处置闲置资产、贷款展期降息等方式，累计化解政府债务16.72亿元，存量风险得到逐步化解，债务风险等级由橙色降至黄色，增量风险得到有效控制，债务风险水平总体可控。</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（三）产业转型升级步伐加快</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农牧业结构调整扎实推进。</w:t>
      </w:r>
      <w:r>
        <w:rPr>
          <w:rFonts w:hint="default" w:ascii="Times New Roman" w:hAnsi="Times New Roman" w:eastAsia="仿宋_GB2312" w:cs="Times New Roman"/>
          <w:color w:val="000000" w:themeColor="text1"/>
          <w:szCs w:val="32"/>
          <w14:textFill>
            <w14:solidFill>
              <w14:schemeClr w14:val="tx1"/>
            </w14:solidFill>
          </w14:textFill>
        </w:rPr>
        <w:t>深入实施“稳粮、增牛、优羊、做强笤帚苗”工程，粮经饲三元种植结构由2015年的78:17:5调整到72:19:9。粮食总产量达12.7亿斤，创历史新高。笤帚苗种植面积稳定在35万亩，笤帚苗制品年产量达到8000万把（件），肉驴和肉牛饲养规模分别达到20万头、30万头，成功获批“自治区农畜产品质量安全旗”。品牌建设成效明显，全旗“三品一标”“名优特”农畜产品达到161个，创建中国驰名商标、自治区著名商标8个，“林东毛毛谷小米”荣获第14届中国国际农产品交易会金奖，巴林左旗被正式认定为“中国笤帚苗之乡”，大辽王府获得全市首家自治区“蒙”字标授权。农牧业产业化步伐加快，新型农牧业经营主体增至1690个，销售收入超过500万元农畜产品加工企业达到60家以上，科然生物技改扩能、佰惠生甜菜和汇德中草药深加工等农畜产品加工项目开工建设，主要农畜产品就地实现加工转化升值。</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工业经济质量效益持续提升。</w:t>
      </w:r>
      <w:r>
        <w:rPr>
          <w:rFonts w:hint="default" w:ascii="Times New Roman" w:hAnsi="Times New Roman" w:eastAsia="仿宋_GB2312" w:cs="Times New Roman"/>
          <w:color w:val="000000" w:themeColor="text1"/>
          <w:szCs w:val="32"/>
          <w14:textFill>
            <w14:solidFill>
              <w14:schemeClr w14:val="tx1"/>
            </w14:solidFill>
          </w14:textFill>
        </w:rPr>
        <w:t>工业增加值从2015年的19.5亿元增长到29.7亿元，年均增长6.6%，有色金属冶炼、非金属产业、能源化工、农畜产品深加工等优势产业加快推进。有色金属实行“分散采、集中选”的发展模式，一手抓矿产资源整合，一手抓现有选厂技改提升，形成了“白音诺尔、富河、乌兰达坝”三大矿区，有色金属日采选能力突破2万吨，年冶炼加工能力达到20万吨。五年累计实施投资千万元以上工业项目80个，完成投资88.9亿元，赤峰金帆再生资源开发有限公司年处理52万吨废旧蓄电池及含铅废物综合利用项目、赤峰金帆新能源科技有限公司年生产300万KVA高性能启动及牵引车铅酸蓄电池项目、赤峰鹏峰化工10万吨/年无水氟化氢及高端含氟材料联产、赤峰富岭建材年产200万吨纳米石灰石粉深加工项目等一批大项目、好项目开工建设，正在逐步达产达效。工业园区经济加快发展，五年累计投入2.15亿元，配套设施基本实现“五通一平”，园区入驻企业达到42户，实现产值48.4亿元。</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现代服务业提档升级。</w:t>
      </w:r>
      <w:r>
        <w:rPr>
          <w:rFonts w:hint="default" w:ascii="Times New Roman" w:hAnsi="Times New Roman" w:eastAsia="仿宋_GB2312" w:cs="Times New Roman"/>
          <w:color w:val="000000" w:themeColor="text1"/>
          <w:szCs w:val="32"/>
          <w14:textFill>
            <w14:solidFill>
              <w14:schemeClr w14:val="tx1"/>
            </w14:solidFill>
          </w14:textFill>
        </w:rPr>
        <w:t>大力推进文旅产业，累计投资29.6亿元，实施辽代上京城和祖陵祖州国家考古遗址公园建设、宗喀巴寺一期工程、七锅山景区、圣象山景区等项目。成功举办了系列文旅宣传活动，《契丹王朝》实景累计演出296场次，辽上京博物馆晋升国家二级馆，召庙景区晋升为国家4A级旅游景区。契丹辽文化体验游王牌景区精品线基本形成，全市第二届旅游产业发展大会在我旗圆满收官，自治区全域旅游示范区成功创建。强力推动新型商贸物流业态发展，累计新增市场主体11874家、高新技术企业6家，规模以上工业企业研发机构覆盖率达30%，上京物流园区被认定为自治区级服务业集聚区，我旗成功晋升为国家电子商务进农村综合示范旗。深入推进金融服务工作，银行业金融机构各项贷款余额年均增长18.4%，存贷比达到90%，不良贷款率降至1.32%，新增资本市场挂牌企业32家，四板挂牌企业数量居全市各旗县区第2位。</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（四）城乡面貌发生显著变化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林东城区面貌极大改善，建成区绿化率进一步提升。全旗城区常住人口突破13万人，城镇化率由2015年的35.8%提高到50%。五年新增商住开发面积150万平方米，林东城区框架拉大到22.5平方公里。累计投资22.5亿元实施3609户城市棚户区改造工程，完成了61个老旧小区基础设施更新改造，麓山公园、新林东公园、福山公园等7个公园相继建成，城区新增绿地面积116万平方米，建成区人均绿地面积达到65.6平方米，绿化覆盖率达到33.5%。林东城区污水处理率达到94.8%，污泥无害化处置率达到100%，集中供热率达到78%，全旗生活垃圾无害化处理率达到 83%。扎实推进美丽乡村建设，完成村庄街巷硬化1752.5千米，改造农村牧区危房14814户，实施饮水安全巩固提升工程346处，解决农村牧区13.89万人饮用水安全问题。农村牧区人居环境不断改善，“厕所革命”加快推进，畜禽粪污资源化利用全面推广。不断强化产业支撑，培育壮大农牧业新型经营主体，发展农村电商、乡村旅游等新业态，农村牧区协调发展。十三敖包镇获评国家“一二三产业融合发展”示范强镇，林东镇后兴隆地村荣获“全国文明村镇”称号。</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（五）基础设施建设加快推进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五年来，全旗基础设施日趋完善。累计完成交通基础设施建设总里程3135千米，新建旅游公路10条85千米，改造及新建桥梁工程23座，农村公路延伸470.1千米，被评为自治区级第三批“四好农村路”示范旗。303线林东段改扩建工程全面完成，集通铁路复线（左旗段）建设完毕，大板至查白音塔拉（左旗段）高速公路快速推进，“三横三纵二环九出口”路网布局持续完善。城乡公交一体化基本完成，运营网络覆盖全旗166个行政村。上京通用机场开工建设，全旗公路、铁路、航空立体交通运输格局初步形成。累计实施市政道路建设面积19.7万平方米，改造城区供水管网5.22千米、供热管网90千米，铺设天然气管道8600延长米。城镇家庭宽带接入实现100兆/秒、农</w:t>
      </w:r>
      <w:r>
        <w:rPr>
          <w:rFonts w:hint="eastAsia" w:ascii="Times New Roman" w:hAnsi="Times New Roman" w:eastAsia="仿宋_GB2312" w:cs="Times New Roman"/>
          <w:color w:val="000000" w:themeColor="text1"/>
          <w:szCs w:val="32"/>
          <w:lang w:eastAsia="zh-CN"/>
          <w14:textFill>
            <w14:solidFill>
              <w14:schemeClr w14:val="tx1"/>
            </w14:solidFill>
          </w14:textFill>
        </w:rPr>
        <w:t>村</w:t>
      </w:r>
      <w:r>
        <w:rPr>
          <w:rFonts w:hint="default" w:ascii="Times New Roman" w:hAnsi="Times New Roman" w:eastAsia="仿宋_GB2312" w:cs="Times New Roman"/>
          <w:color w:val="000000" w:themeColor="text1"/>
          <w:szCs w:val="32"/>
          <w14:textFill>
            <w14:solidFill>
              <w14:schemeClr w14:val="tx1"/>
            </w14:solidFill>
          </w14:textFill>
        </w:rPr>
        <w:t>牧区家庭50兆/秒及以上宽带接入实现全覆盖。</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（六）保障改善民生力度空前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五年来，全旗教育发展水平持续提升。累计投入7.48亿元全面改善办学条件，三峡中学、林东八小、三峡小学、林东特殊教育学校及林东蒙古族幼儿园等相继建成并投入使用，哈达英格寄宿制学校教学楼、乌兰达坝蒙古族寄宿制学校综合楼等一批项目开工建设，全旗中小学校达到39所，公办幼儿园达到85所，普惠性幼儿园覆盖率突破80%，高中教育基本普及，职业教育现代化水平明显提升，民族教育内涵式发展卓有成效，成功晋升全国义务教育发展基本均衡县。高效推进就业创业促进工程。实现新增城镇就业9419人，开发公益性岗位3351个，年均实现劳动力转移就业5.2万人次以上，城镇登记失业率始终控制在4%以内。五年引进各类人才1674人，人才强旗软硬实力得到进一步提升。全面实施全民参保计划，成功构建“3+1”医疗保障体系，多层次的社会保障体系持续完善。卫生健康事业取得高质量发展。不断健全完善公共卫生服务体系，新建和改扩建旗级医疗卫生机构4所、基层卫生院12所、社区卫生服务中心2所、嘎查村卫生室78所，旗疾病预防控制中心、妇幼保健计划生育服务中心、东城街道社区卫生服务中心易址迁建及旗中医蒙医医院病房综合楼等项目投入使用，旗中医蒙医医院晋升全国三级甲等行列。积极实施健康巴林左旗建设，成功创建自治区级健康促进旗、自治区级慢性病综合防控示范区，居民人均预期寿命达到71.5岁。推进养老机构与基层医疗机构的有机结合，促进养老健康产业协调发展，完成特困人员救助供养服务中心及洞山区域中心敬老院建设。深入实施保障性安居工程建设。累计投入资金1.47亿元，建设公租房1490套，建筑面积17万平方米。</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（七）改革开放水平不断提升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重点领域改革纵深推进。</w:t>
      </w:r>
      <w:r>
        <w:rPr>
          <w:rFonts w:hint="default" w:ascii="Times New Roman" w:hAnsi="Times New Roman" w:eastAsia="仿宋_GB2312" w:cs="Times New Roman"/>
          <w:color w:val="000000" w:themeColor="text1"/>
          <w:szCs w:val="32"/>
          <w14:textFill>
            <w14:solidFill>
              <w14:schemeClr w14:val="tx1"/>
            </w14:solidFill>
          </w14:textFill>
        </w:rPr>
        <w:t>政府机构、国有企业、国有林场等改革任务全部完成，农村牧区、投融资体制、河湖长制等专项改革扎实推进。持续推进“放管服”改革，深入开展“减材料、压时限、优流程、提效能”专项行动，减少审批环节134个，审批时限整体压减1571个工作日。减税降费政策持续落实，累计减免税费12.5亿元。医药卫生体制改革纵深推进，成功建立旗乡村一体化医疗服务共同体，优质医疗资源惠及更多农牧民群众。低保精准认定“6+1”、特困供养“标准+契约”改革均获评全国社会救助领域十佳创新实践案例，农村土地确权登记颁证工作被农业农村部绩效评价为优秀等级，旗人民法院创新设立的“一站式”智能诉讼服务中心被自治区高院作为典型在全区推广。高位推动招商引资工作，不断创新方式方法，狠抓项目落地及跟踪服务，招商引资数额年均增长10%。</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（八）社会治理体系更加完善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平安左旗建设取得积极成效，社会治理体系和治理能力现代化加快推进。安全生产工作持续加强，生产安全事故起数、死亡人数实现“双下降”，成功承办全市地震应急救援演练活动。稳步推进社会治安防控体系建设，旗看守所、拘留所连年荣获国家一级所称号，社会大局持续和谐稳定。纵深推进扫黑除恶专项斗争，“六清”行动、“六建”工作扎实推进，顺利通过自治区扫黑除恶专项督导检查。创新“四室合一”矛盾纠纷化解模式，人民调解案件1752件，调解总数位列全区第八、全市第二。2020年深入开展“解决信访问题年”专项行动，有效化解信访问题166件。定期开展假冒伪劣食品药品专项整治行动，有效保障群众饮食用药安全。圆满承办全市民族团结进步创建工作经验交流会，成功创建全区民族团结进步示范旗。持续规范退役军人服务保障体系，荣膺自治区双拥模范旗“四连冠”。</w:t>
      </w:r>
    </w:p>
    <w:p>
      <w:pPr>
        <w:pStyle w:val="2"/>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2" w:name="_Toc64916015"/>
      <w:r>
        <w:rPr>
          <w:rFonts w:hint="default" w:ascii="Times New Roman" w:hAnsi="Times New Roman" w:eastAsia="楷体_GB2312" w:cs="Times New Roman"/>
          <w:color w:val="000000" w:themeColor="text1"/>
          <w14:textFill>
            <w14:solidFill>
              <w14:schemeClr w14:val="tx1"/>
            </w14:solidFill>
          </w14:textFill>
        </w:rPr>
        <w:t xml:space="preserve"> 存在的主要问题</w:t>
      </w:r>
      <w:bookmarkEnd w:id="2"/>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目前，我旗仍处于转型升级、爬坡过坎的关键阶段，发展不平衡不充分问题仍然比较突出，具体表现为：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经济总体实力不强。</w:t>
      </w:r>
      <w:r>
        <w:rPr>
          <w:rFonts w:hint="default" w:ascii="Times New Roman" w:hAnsi="Times New Roman" w:eastAsia="仿宋_GB2312" w:cs="Times New Roman"/>
          <w:color w:val="000000" w:themeColor="text1"/>
          <w:szCs w:val="32"/>
          <w14:textFill>
            <w14:solidFill>
              <w14:schemeClr w14:val="tx1"/>
            </w14:solidFill>
          </w14:textFill>
        </w:rPr>
        <w:t>经济总量偏小，人均GDP水平低，2020年地区生产总值</w:t>
      </w:r>
      <w:r>
        <w:rPr>
          <w:rFonts w:hint="eastAsia" w:ascii="Times New Roman" w:hAnsi="Times New Roman" w:eastAsia="仿宋_GB2312" w:cs="Times New Roman"/>
          <w:color w:val="000000" w:themeColor="text1"/>
          <w:szCs w:val="32"/>
          <w:lang w:eastAsia="zh-CN"/>
          <w14:textFill>
            <w14:solidFill>
              <w14:schemeClr w14:val="tx1"/>
            </w14:solidFill>
          </w14:textFill>
        </w:rPr>
        <w:t>为</w:t>
      </w:r>
      <w:r>
        <w:rPr>
          <w:rFonts w:hint="default" w:ascii="Times New Roman" w:hAnsi="Times New Roman" w:eastAsia="仿宋_GB2312" w:cs="Times New Roman"/>
          <w:color w:val="000000" w:themeColor="text1"/>
          <w:szCs w:val="32"/>
          <w14:textFill>
            <w14:solidFill>
              <w14:schemeClr w14:val="tx1"/>
            </w14:solidFill>
          </w14:textFill>
        </w:rPr>
        <w:t>124.2亿元，仅占赤峰市总量的7%，在十二个旗县区排名第8位；一般公共预算收入</w:t>
      </w:r>
      <w:r>
        <w:rPr>
          <w:rFonts w:hint="eastAsia" w:ascii="Times New Roman" w:hAnsi="Times New Roman" w:eastAsia="仿宋_GB2312" w:cs="Times New Roman"/>
          <w:color w:val="000000" w:themeColor="text1"/>
          <w:szCs w:val="32"/>
          <w:lang w:eastAsia="zh-CN"/>
          <w14:textFill>
            <w14:solidFill>
              <w14:schemeClr w14:val="tx1"/>
            </w14:solidFill>
          </w14:textFill>
        </w:rPr>
        <w:t>为</w:t>
      </w:r>
      <w:r>
        <w:rPr>
          <w:rFonts w:hint="default" w:ascii="Times New Roman" w:hAnsi="Times New Roman" w:eastAsia="仿宋_GB2312" w:cs="Times New Roman"/>
          <w:color w:val="000000" w:themeColor="text1"/>
          <w:szCs w:val="32"/>
          <w14:textFill>
            <w14:solidFill>
              <w14:schemeClr w14:val="tx1"/>
            </w14:solidFill>
          </w14:textFill>
        </w:rPr>
        <w:t>4.1亿元，仅占赤峰市总量的3.4%，在十二个旗县区排名第10位，发展后劲不足。</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产业结构不尽合理。</w:t>
      </w:r>
      <w:r>
        <w:rPr>
          <w:rFonts w:hint="default" w:ascii="Times New Roman" w:hAnsi="Times New Roman" w:eastAsia="仿宋_GB2312" w:cs="Times New Roman"/>
          <w:color w:val="000000" w:themeColor="text1"/>
          <w:szCs w:val="32"/>
          <w14:textFill>
            <w14:solidFill>
              <w14:schemeClr w14:val="tx1"/>
            </w14:solidFill>
          </w14:textFill>
        </w:rPr>
        <w:t>产业体系不健全，经济发展方式仍较粗放，产业层次低，农牧业规模化、标准化、集约化、品牌化水平不高，工业结构单一，铅锌等资源型产业比重超过75%，文化旅游产业主导性不突出，新兴产业整体规模较低，尚处于起步阶段，拉动作用不明显。产业集聚发展和延伸升级动力不足，转型升级任务艰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创新驱动能力较弱。</w:t>
      </w:r>
      <w:r>
        <w:rPr>
          <w:rFonts w:hint="default" w:ascii="Times New Roman" w:hAnsi="Times New Roman" w:eastAsia="仿宋_GB2312" w:cs="Times New Roman"/>
          <w:color w:val="000000" w:themeColor="text1"/>
          <w:szCs w:val="32"/>
          <w14:textFill>
            <w14:solidFill>
              <w14:schemeClr w14:val="tx1"/>
            </w14:solidFill>
          </w14:textFill>
        </w:rPr>
        <w:t>科技创新能力不足，科研经费支出占GDP比重远低于自治区、赤峰市平均水平。科技投入少、创新平台少、高端人才少、本土科研力量弱、科技成果转化能力弱的“三少两弱”矛盾仍然突出。资金、技术、人才要素制约明显，新技术、新工艺、新流程尚未得到广泛推广应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营商环境需进一步优化。</w:t>
      </w:r>
      <w:r>
        <w:rPr>
          <w:rFonts w:hint="default" w:ascii="Times New Roman" w:hAnsi="Times New Roman" w:eastAsia="仿宋_GB2312" w:cs="Times New Roman"/>
          <w:color w:val="000000" w:themeColor="text1"/>
          <w:szCs w:val="32"/>
          <w14:textFill>
            <w14:solidFill>
              <w14:schemeClr w14:val="tx1"/>
            </w14:solidFill>
          </w14:textFill>
        </w:rPr>
        <w:t>从投资硬环境上看，区位交通、园区设施、运输成本等基础设施和要素配套条件与周边地区相比仍有很大差距。从投资软环境上看，“放管服”改革成效不明显，审批权限释放不到位，政务服务大厅仍存在人进事未进、事进权未进、两头办两头跑的现象。同时，重点项目行政审批绿色通道还需进一步畅通。</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基础保障能力不足。</w:t>
      </w:r>
      <w:r>
        <w:rPr>
          <w:rFonts w:hint="default" w:ascii="Times New Roman" w:hAnsi="Times New Roman" w:eastAsia="仿宋_GB2312" w:cs="Times New Roman"/>
          <w:color w:val="000000" w:themeColor="text1"/>
          <w:szCs w:val="32"/>
          <w14:textFill>
            <w14:solidFill>
              <w14:schemeClr w14:val="tx1"/>
            </w14:solidFill>
          </w14:textFill>
        </w:rPr>
        <w:t>农牧业基础仍然比较薄弱，抵御市场风险和自然灾害能力不强。地区生态较为脆弱，生态环境保护任重道远。城乡发展仍然不够均衡，</w:t>
      </w:r>
      <w:r>
        <w:rPr>
          <w:rFonts w:hint="default" w:ascii="Times New Roman" w:hAnsi="Times New Roman" w:eastAsia="仿宋_GB2312" w:cs="Times New Roman"/>
          <w:bCs/>
          <w:color w:val="000000" w:themeColor="text1"/>
          <w:szCs w:val="32"/>
          <w14:textFill>
            <w14:solidFill>
              <w14:schemeClr w14:val="tx1"/>
            </w14:solidFill>
          </w14:textFill>
        </w:rPr>
        <w:t>农村牧区建设落后，需要进一步统筹城乡发展</w:t>
      </w:r>
      <w:r>
        <w:rPr>
          <w:rFonts w:hint="default" w:ascii="Times New Roman" w:hAnsi="Times New Roman" w:eastAsia="仿宋_GB2312" w:cs="Times New Roman"/>
          <w:color w:val="000000" w:themeColor="text1"/>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民生保障任务艰巨。</w:t>
      </w:r>
      <w:r>
        <w:rPr>
          <w:rFonts w:hint="default" w:ascii="Times New Roman" w:hAnsi="Times New Roman" w:eastAsia="仿宋_GB2312" w:cs="Times New Roman"/>
          <w:color w:val="000000" w:themeColor="text1"/>
          <w:szCs w:val="32"/>
          <w14:textFill>
            <w14:solidFill>
              <w14:schemeClr w14:val="tx1"/>
            </w14:solidFill>
          </w14:textFill>
        </w:rPr>
        <w:t>财政收支矛盾依然突出，一般公共预算收入增速远低于“三保”等刚性支出增速，有限的财政保障能力与较大的民生需求矛盾突出。城乡居民收入较低，居民人均可支配收入仅相当于全市水平的77.7%，全区水平的58.3%，比全市平均水平低5288元，比全区低13122元，增收难度大，社会保障体系需进一步完善。</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 w:name="_Toc64916016"/>
      <w:r>
        <w:rPr>
          <w:rFonts w:hint="default" w:ascii="Times New Roman" w:hAnsi="Times New Roman" w:eastAsia="楷体_GB2312" w:cs="Times New Roman"/>
          <w:color w:val="000000" w:themeColor="text1"/>
          <w14:textFill>
            <w14:solidFill>
              <w14:schemeClr w14:val="tx1"/>
            </w14:solidFill>
          </w14:textFill>
        </w:rPr>
        <w:t xml:space="preserve"> 面临形势</w:t>
      </w:r>
      <w:bookmarkEnd w:id="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Style w:val="6"/>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（一）发展机遇</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一是随着国际竞争加剧，国际贸易中的制裁与反制裁愈演愈烈，国家致力于构建以国内大循环为主体、国内国际双循环相互促进的新发展格局。坚定实施扩大内需战略，更加注重内部循环、产业链供应链安全，国内需求大幅增加，对于我旗增加农畜产品、工业产品有效供给、扩大产能、丰富业态将产生积极影响。</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739" w:firstLineChars="231"/>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二是国家将全面推进脱贫攻坚与乡村振兴有效衔接，对于我旗这样的欠发达地区，</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将</w:t>
      </w:r>
      <w:r>
        <w:rPr>
          <w:rFonts w:hint="default" w:ascii="Times New Roman" w:hAnsi="Times New Roman" w:eastAsia="仿宋_GB2312" w:cs="Times New Roman"/>
          <w:color w:val="000000" w:themeColor="text1"/>
          <w:kern w:val="2"/>
          <w:sz w:val="32"/>
          <w:szCs w:val="32"/>
          <w14:textFill>
            <w14:solidFill>
              <w14:schemeClr w14:val="tx1"/>
            </w14:solidFill>
          </w14:textFill>
        </w:rPr>
        <w:t>加大资金和政策扶持。随着乡村振兴战略的深入实施，一二三产业融合发展、城乡互动发展将不断加快，对于发展壮大中小企业，推动农牧业现代化，壮大乡村旅游等新兴产业将产生积极效果。</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739" w:firstLineChars="231"/>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三是国家继续实施京津冀协同发展战略和振兴东北老工业基地，有利于我旗更好地发挥资源和区位优势，融入环渤海经济圈和全国产业发展大局，在发展的过程中，产业定位将更加明确，产业结构可塑性更强。</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739" w:firstLineChars="231"/>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四是国家实施一系列的高新技术发展战略，发达地区在推进高新产业发展的过程中，新旧动能转换，相关配套需求增加，产业转移加快，有利于我旗加快承接产业转移，培育和壮大新兴产业，进一步优化产业结构，提升产业层次。</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739" w:firstLineChars="231"/>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五是随着新能源汽车的不断推广，对动力电池的需要大幅增加，这与我旗有色金属产业的发展方向高度契合，有利于我旗继续延长有色金属产业链条，拉动有色金属“采、选、加”一体化快速发展。</w:t>
      </w:r>
    </w:p>
    <w:p>
      <w:pPr>
        <w:pStyle w:val="13"/>
        <w:pageBreakBefore w:val="0"/>
        <w:widowControl w:val="0"/>
        <w:kinsoku/>
        <w:wordWrap/>
        <w:overflowPunct/>
        <w:topLinePunct w:val="0"/>
        <w:autoSpaceDE/>
        <w:autoSpaceDN/>
        <w:bidi w:val="0"/>
        <w:adjustRightInd/>
        <w:snapToGrid/>
        <w:spacing w:beforeAutospacing="0" w:afterAutospacing="0" w:line="560" w:lineRule="exact"/>
        <w:ind w:firstLine="739" w:firstLineChars="231"/>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六是全旗上下思想更加统一，营商环境不断优化，招商引资政策愈加成熟，产业发展方向、招商方向更加明确，招商力量更加强大，这些都为我旗下一步加快发展奠定了更加坚实的基础。</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Cs w:val="32"/>
          <w14:textFill>
            <w14:solidFill>
              <w14:schemeClr w14:val="tx1"/>
            </w14:solidFill>
          </w14:textFill>
        </w:rPr>
      </w:pPr>
      <w:r>
        <w:rPr>
          <w:rFonts w:hint="default" w:ascii="Times New Roman" w:hAnsi="Times New Roman" w:eastAsia="仿宋_GB2312" w:cs="Times New Roman"/>
          <w:b/>
          <w:bCs/>
          <w:color w:val="000000" w:themeColor="text1"/>
          <w:szCs w:val="32"/>
          <w14:textFill>
            <w14:solidFill>
              <w14:schemeClr w14:val="tx1"/>
            </w14:solidFill>
          </w14:textFill>
        </w:rPr>
        <w:t>（二）面临挑战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一是外部环境不确定性、不稳定性因素增多。“十四五”时期，逆全球化趋势</w:t>
      </w:r>
      <w:r>
        <w:rPr>
          <w:rFonts w:hint="eastAsia" w:ascii="Times New Roman" w:hAnsi="Times New Roman" w:eastAsia="仿宋_GB2312" w:cs="Times New Roman"/>
          <w:color w:val="000000" w:themeColor="text1"/>
          <w:szCs w:val="32"/>
          <w:lang w:eastAsia="zh-CN"/>
          <w14:textFill>
            <w14:solidFill>
              <w14:schemeClr w14:val="tx1"/>
            </w14:solidFill>
          </w14:textFill>
        </w:rPr>
        <w:t>进一步</w:t>
      </w:r>
      <w:r>
        <w:rPr>
          <w:rFonts w:hint="default" w:ascii="Times New Roman" w:hAnsi="Times New Roman" w:eastAsia="仿宋_GB2312" w:cs="Times New Roman"/>
          <w:color w:val="000000" w:themeColor="text1"/>
          <w:szCs w:val="32"/>
          <w14:textFill>
            <w14:solidFill>
              <w14:schemeClr w14:val="tx1"/>
            </w14:solidFill>
          </w14:textFill>
        </w:rPr>
        <w:t>加剧，保护主义、内顾倾向抬头，我国发展面临的外部环境可能出现重大变化。外部经济下行压力会逐步向旗县一级区域传导，对我旗产业发展空间形成挤压，经济后发优势不确定性进一步凸显。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二是新冠疫情的影响可能长期存在。虽然我国的新冠疫情已经得到有效控制，但在局部地区小规模爆发的可能性仍然存在。我旗正在深度开发旅游资源，大力发展旅游业，人员集中、有序流动与疫情防控之间的矛盾将长期存在，工商企业的正常生产经营也面临着较多的不确定性。</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三是产业发展和生态环境高水平保护矛盾比较突出。我旗作为经济发展基础较弱、生态环境条件较弱的“双弱”地区，既面临追赶发展、转型发展的现实需要，又面临生态环境脆弱</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生态环境综合承载能力接近上限的约束。生态环境约束日益严格的背景与我旗有色金属、能源化工等产业的发展矛盾较为突出。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四是区域竞争加剧，对自身发展环境提出了更高要求。总体看，我旗承接产业转移的上下游产业配套不足，与“产业链”配套的“服务链”发展不足，营商环境竞争力不强，对承接转移，加快产业提质升级形成制约。同时，我旗与周边地区产业同质化竞争加剧、发展战略趋同，随着要素配置市场化程度不断提高，吸引优质要素向巴林左旗集中难度较大。</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十四五”时期，全旗上下要切实增强责任意识、忧患意识和机遇意识，在危机中育先机、于变局中开新局，在事关全旗长远发展的重大问题上统一思想、形成共识，牢牢把握重要的历史机遇期，发扬斗争精神，在新发展阶段实现新作为。</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4" w:name="_Toc64916017"/>
      <w:r>
        <w:rPr>
          <w:rFonts w:hint="default" w:ascii="Times New Roman" w:hAnsi="Times New Roman" w:eastAsia="黑体" w:cs="Times New Roman"/>
          <w:color w:val="000000" w:themeColor="text1"/>
          <w14:textFill>
            <w14:solidFill>
              <w14:schemeClr w14:val="tx1"/>
            </w14:solidFill>
          </w14:textFill>
        </w:rPr>
        <w:t xml:space="preserve"> 总体要求</w:t>
      </w:r>
      <w:bookmarkEnd w:id="4"/>
    </w:p>
    <w:p>
      <w:pPr>
        <w:numPr>
          <w:ilvl w:val="0"/>
          <w:numId w:val="0"/>
        </w:numPr>
        <w:ind w:leftChars="0"/>
        <w:rPr>
          <w:rFonts w:hint="default"/>
          <w:color w:val="000000" w:themeColor="text1"/>
          <w14:textFill>
            <w14:solidFill>
              <w14:schemeClr w14:val="tx1"/>
            </w14:solidFill>
          </w14:textFill>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5" w:name="_Toc64916018"/>
      <w:r>
        <w:rPr>
          <w:rFonts w:hint="default" w:ascii="Times New Roman" w:hAnsi="Times New Roman" w:eastAsia="楷体_GB2312" w:cs="Times New Roman"/>
          <w:color w:val="000000" w:themeColor="text1"/>
          <w14:textFill>
            <w14:solidFill>
              <w14:schemeClr w14:val="tx1"/>
            </w14:solidFill>
          </w14:textFill>
        </w:rPr>
        <w:t>第一节  指导思想</w:t>
      </w:r>
      <w:bookmarkEnd w:id="5"/>
    </w:p>
    <w:p>
      <w:p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以习近平新时代中国特色社会主义思想为指导，深入贯彻党的十九大和十九届二中、三中、四中、五中全会精神以及习近平总书记关于内蒙古重要讲话重要指示批示精神，增强“四个意识”，坚定“四个自信”，做到“两个维护”，统筹推进“五位一体”总体布局，协调推进“四个全面”战略布局。坚持党的全面领导，坚持以人民为中心，坚持新发展理念，坚持稳中求进工作总基调，以推动高质量发展为主题，持续深化供给侧结构性改革，扎实推进改革开放和创新发展，不断增进人民群众福祉，全面提升社会治理现代化水平，各民族团结进步，社会和谐稳定，走出一条</w:t>
      </w:r>
      <w:r>
        <w:rPr>
          <w:rFonts w:hint="eastAsia" w:ascii="Times New Roman" w:hAnsi="Times New Roman" w:eastAsia="仿宋_GB2312" w:cs="Times New Roman"/>
          <w:color w:val="000000" w:themeColor="text1"/>
          <w:szCs w:val="32"/>
          <w:lang w:eastAsia="zh-CN"/>
          <w14:textFill>
            <w14:solidFill>
              <w14:schemeClr w14:val="tx1"/>
            </w14:solidFill>
          </w14:textFill>
        </w:rPr>
        <w:t>以</w:t>
      </w:r>
      <w:r>
        <w:rPr>
          <w:rFonts w:hint="default" w:ascii="Times New Roman" w:hAnsi="Times New Roman" w:eastAsia="仿宋_GB2312" w:cs="Times New Roman"/>
          <w:color w:val="000000" w:themeColor="text1"/>
          <w:szCs w:val="32"/>
          <w14:textFill>
            <w14:solidFill>
              <w14:schemeClr w14:val="tx1"/>
            </w14:solidFill>
          </w14:textFill>
        </w:rPr>
        <w:t>生态优先、绿色发展为导向的高质量发展新路子，为全面建设社会主义现代化国家贡献</w:t>
      </w:r>
      <w:r>
        <w:rPr>
          <w:rFonts w:hint="eastAsia" w:ascii="Times New Roman" w:hAnsi="Times New Roman" w:eastAsia="仿宋_GB2312" w:cs="Times New Roman"/>
          <w:color w:val="000000" w:themeColor="text1"/>
          <w:szCs w:val="32"/>
          <w:lang w:eastAsia="zh-CN"/>
          <w14:textFill>
            <w14:solidFill>
              <w14:schemeClr w14:val="tx1"/>
            </w14:solidFill>
          </w14:textFill>
        </w:rPr>
        <w:t>巴林</w:t>
      </w:r>
      <w:r>
        <w:rPr>
          <w:rFonts w:hint="default" w:ascii="Times New Roman" w:hAnsi="Times New Roman" w:eastAsia="仿宋_GB2312" w:cs="Times New Roman"/>
          <w:color w:val="000000" w:themeColor="text1"/>
          <w:szCs w:val="32"/>
          <w14:textFill>
            <w14:solidFill>
              <w14:schemeClr w14:val="tx1"/>
            </w14:solidFill>
          </w14:textFill>
        </w:rPr>
        <w:t>左旗力量。</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3"/>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6" w:name="_Toc64916019"/>
      <w:r>
        <w:rPr>
          <w:rFonts w:hint="default" w:ascii="Times New Roman" w:hAnsi="Times New Roman" w:eastAsia="楷体_GB2312" w:cs="Times New Roman"/>
          <w:color w:val="000000" w:themeColor="text1"/>
          <w14:textFill>
            <w14:solidFill>
              <w14:schemeClr w14:val="tx1"/>
            </w14:solidFill>
          </w14:textFill>
        </w:rPr>
        <w:t xml:space="preserve"> 基本原则</w:t>
      </w:r>
      <w:bookmarkEnd w:id="6"/>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落实上述指导思想，“十四五”时期经济社会发展必须把握策略和方法，重点坚持以下原则。</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——坚持党的全面领导。</w:t>
      </w:r>
      <w:r>
        <w:rPr>
          <w:rFonts w:hint="default" w:ascii="Times New Roman" w:hAnsi="Times New Roman" w:eastAsia="仿宋_GB2312" w:cs="Times New Roman"/>
          <w:color w:val="000000" w:themeColor="text1"/>
          <w:szCs w:val="32"/>
          <w14:textFill>
            <w14:solidFill>
              <w14:schemeClr w14:val="tx1"/>
            </w14:solidFill>
          </w14:textFill>
        </w:rPr>
        <w:t>坚持和完善党领导经济社会发展的体制机制，坚持和完善中国特色社会主义制度，加强党对经济工作的集中统一领导，为实现高质量发展提供根本保证。</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——坚持以人民为中心。</w:t>
      </w:r>
      <w:r>
        <w:rPr>
          <w:rFonts w:hint="default" w:ascii="Times New Roman" w:hAnsi="Times New Roman" w:eastAsia="仿宋_GB2312" w:cs="Times New Roman"/>
          <w:color w:val="000000" w:themeColor="text1"/>
          <w:szCs w:val="32"/>
          <w14:textFill>
            <w14:solidFill>
              <w14:schemeClr w14:val="tx1"/>
            </w14:solidFill>
          </w14:textFill>
        </w:rPr>
        <w:t>坚持人民至上、积极回应人民群众诉求、</w:t>
      </w:r>
      <w:r>
        <w:rPr>
          <w:rFonts w:hint="eastAsia" w:ascii="Times New Roman" w:hAnsi="Times New Roman" w:eastAsia="仿宋_GB2312" w:cs="Times New Roman"/>
          <w:color w:val="000000" w:themeColor="text1"/>
          <w:szCs w:val="32"/>
          <w:lang w:eastAsia="zh-CN"/>
          <w14:textFill>
            <w14:solidFill>
              <w14:schemeClr w14:val="tx1"/>
            </w14:solidFill>
          </w14:textFill>
        </w:rPr>
        <w:t>切实</w:t>
      </w:r>
      <w:r>
        <w:rPr>
          <w:rFonts w:hint="default" w:ascii="Times New Roman" w:hAnsi="Times New Roman" w:eastAsia="仿宋_GB2312" w:cs="Times New Roman"/>
          <w:color w:val="000000" w:themeColor="text1"/>
          <w:szCs w:val="32"/>
          <w14:textFill>
            <w14:solidFill>
              <w14:schemeClr w14:val="tx1"/>
            </w14:solidFill>
          </w14:textFill>
        </w:rPr>
        <w:t>满足人民群众需求，以尊重人民</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群众</w:t>
      </w:r>
      <w:r>
        <w:rPr>
          <w:rFonts w:hint="default" w:ascii="Times New Roman" w:hAnsi="Times New Roman" w:eastAsia="仿宋_GB2312" w:cs="Times New Roman"/>
          <w:color w:val="000000" w:themeColor="text1"/>
          <w:szCs w:val="32"/>
          <w14:textFill>
            <w14:solidFill>
              <w14:schemeClr w14:val="tx1"/>
            </w14:solidFill>
          </w14:textFill>
        </w:rPr>
        <w:t>主体地位和</w:t>
      </w:r>
      <w:r>
        <w:rPr>
          <w:rFonts w:hint="eastAsia" w:ascii="Times New Roman" w:hAnsi="Times New Roman" w:eastAsia="仿宋_GB2312" w:cs="Times New Roman"/>
          <w:color w:val="000000" w:themeColor="text1"/>
          <w:szCs w:val="32"/>
          <w:lang w:val="en-US" w:eastAsia="zh-CN"/>
          <w14:textFill>
            <w14:solidFill>
              <w14:schemeClr w14:val="tx1"/>
            </w14:solidFill>
          </w14:textFill>
        </w:rPr>
        <w:t>首创</w:t>
      </w:r>
      <w:r>
        <w:rPr>
          <w:rFonts w:hint="default" w:ascii="Times New Roman" w:hAnsi="Times New Roman" w:eastAsia="仿宋_GB2312" w:cs="Times New Roman"/>
          <w:color w:val="000000" w:themeColor="text1"/>
          <w:szCs w:val="32"/>
          <w14:textFill>
            <w14:solidFill>
              <w14:schemeClr w14:val="tx1"/>
            </w14:solidFill>
          </w14:textFill>
        </w:rPr>
        <w:t>精神推动经济社会发展，把提高人民群众福祉落实到经济社会发展的各环节、各领域。</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——坚持新发展理念。</w:t>
      </w:r>
      <w:r>
        <w:rPr>
          <w:rFonts w:hint="default" w:ascii="Times New Roman" w:hAnsi="Times New Roman" w:eastAsia="仿宋_GB2312" w:cs="Times New Roman"/>
          <w:color w:val="000000" w:themeColor="text1"/>
          <w:szCs w:val="32"/>
          <w14:textFill>
            <w14:solidFill>
              <w14:schemeClr w14:val="tx1"/>
            </w14:solidFill>
          </w14:textFill>
        </w:rPr>
        <w:t>发挥新发展理念“指挥棒、红绿灯”的引导作用，把新发展理念贯穿</w:t>
      </w:r>
      <w:r>
        <w:rPr>
          <w:rFonts w:hint="eastAsia" w:ascii="Times New Roman" w:hAnsi="Times New Roman" w:eastAsia="仿宋_GB2312" w:cs="Times New Roman"/>
          <w:color w:val="000000" w:themeColor="text1"/>
          <w:szCs w:val="32"/>
          <w:lang w:eastAsia="zh-CN"/>
          <w14:textFill>
            <w14:solidFill>
              <w14:schemeClr w14:val="tx1"/>
            </w14:solidFill>
          </w14:textFill>
        </w:rPr>
        <w:t>经济社会</w:t>
      </w:r>
      <w:r>
        <w:rPr>
          <w:rFonts w:hint="default" w:ascii="Times New Roman" w:hAnsi="Times New Roman" w:eastAsia="仿宋_GB2312" w:cs="Times New Roman"/>
          <w:color w:val="000000" w:themeColor="text1"/>
          <w:szCs w:val="32"/>
          <w14:textFill>
            <w14:solidFill>
              <w14:schemeClr w14:val="tx1"/>
            </w14:solidFill>
          </w14:textFill>
        </w:rPr>
        <w:t>发展全过程和各领域，构建新发展格局，切实转变发展方式，推动质量变革、效率变革、动力变革，实现更高质量、更有效率、更加公平、更可持续、更为安全的发展。</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——坚持深化改革开放。</w:t>
      </w:r>
      <w:r>
        <w:rPr>
          <w:rFonts w:hint="default" w:ascii="Times New Roman" w:hAnsi="Times New Roman" w:eastAsia="仿宋_GB2312" w:cs="Times New Roman"/>
          <w:color w:val="000000" w:themeColor="text1"/>
          <w:szCs w:val="32"/>
          <w14:textFill>
            <w14:solidFill>
              <w14:schemeClr w14:val="tx1"/>
            </w14:solidFill>
          </w14:textFill>
        </w:rPr>
        <w:t>坚定不移推进改革，坚定不移扩大开放，强化有利于提高资源配置效率、有利于调动全社会积极性的重大改革开放举措。</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——坚持系统观念。</w:t>
      </w:r>
      <w:r>
        <w:rPr>
          <w:rFonts w:hint="default" w:ascii="Times New Roman" w:hAnsi="Times New Roman" w:eastAsia="仿宋_GB2312" w:cs="Times New Roman"/>
          <w:color w:val="000000" w:themeColor="text1"/>
          <w:szCs w:val="32"/>
          <w14:textFill>
            <w14:solidFill>
              <w14:schemeClr w14:val="tx1"/>
            </w14:solidFill>
          </w14:textFill>
        </w:rPr>
        <w:t>着力固根基、扬优势、补短板、强弱项，注重防范化解重大风险挑战，实现发展质量、结构、规模、速度、效益、安全相统一。</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——坚持生态优先绿色发展。</w:t>
      </w:r>
      <w:r>
        <w:rPr>
          <w:rFonts w:hint="default" w:ascii="Times New Roman" w:hAnsi="Times New Roman" w:eastAsia="仿宋_GB2312" w:cs="Times New Roman"/>
          <w:color w:val="000000" w:themeColor="text1"/>
          <w:szCs w:val="32"/>
          <w14:textFill>
            <w14:solidFill>
              <w14:schemeClr w14:val="tx1"/>
            </w14:solidFill>
          </w14:textFill>
        </w:rPr>
        <w:t>统筹经济发展与环境保护，坚持生态优先战略定位不动摇，严守生态保护红线、环境质量底线、资源利用上线和生态环境准入清单，推动绿色循环低碳发展，保障生态安全。</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7" w:name="_Toc64916020"/>
      <w:r>
        <w:rPr>
          <w:rFonts w:hint="default" w:ascii="Times New Roman" w:hAnsi="Times New Roman" w:eastAsia="楷体_GB2312" w:cs="Times New Roman"/>
          <w:color w:val="000000" w:themeColor="text1"/>
          <w14:textFill>
            <w14:solidFill>
              <w14:schemeClr w14:val="tx1"/>
            </w14:solidFill>
          </w14:textFill>
        </w:rPr>
        <w:t xml:space="preserve"> 战略定位</w:t>
      </w:r>
      <w:bookmarkEnd w:id="7"/>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着眼全国全区全市发展大势，立足旗情实际，围绕资源禀赋和区</w:t>
      </w:r>
      <w:r>
        <w:rPr>
          <w:rFonts w:hint="eastAsia" w:ascii="Times New Roman" w:hAnsi="Times New Roman" w:eastAsia="仿宋_GB2312" w:cs="Times New Roman"/>
          <w:color w:val="000000" w:themeColor="text1"/>
          <w:szCs w:val="32"/>
          <w:lang w:eastAsia="zh-CN"/>
          <w14:textFill>
            <w14:solidFill>
              <w14:schemeClr w14:val="tx1"/>
            </w14:solidFill>
          </w14:textFill>
        </w:rPr>
        <w:t>位</w:t>
      </w:r>
      <w:r>
        <w:rPr>
          <w:rFonts w:hint="default" w:ascii="Times New Roman" w:hAnsi="Times New Roman" w:eastAsia="仿宋_GB2312" w:cs="Times New Roman"/>
          <w:color w:val="000000" w:themeColor="text1"/>
          <w:szCs w:val="32"/>
          <w14:textFill>
            <w14:solidFill>
              <w14:schemeClr w14:val="tx1"/>
            </w14:solidFill>
          </w14:textFill>
        </w:rPr>
        <w:t>优势，调动一切力量、开展集中攻坚，把巴林左旗打造成高质量发展的区域性中心和典型示范区。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建设赤峰北部农畜产品加工集散集群中心。</w:t>
      </w:r>
      <w:r>
        <w:rPr>
          <w:rFonts w:hint="default" w:ascii="Times New Roman" w:hAnsi="Times New Roman" w:eastAsia="仿宋_GB2312" w:cs="Times New Roman"/>
          <w:color w:val="000000" w:themeColor="text1"/>
          <w:szCs w:val="32"/>
          <w14:textFill>
            <w14:solidFill>
              <w14:schemeClr w14:val="tx1"/>
            </w14:solidFill>
          </w14:textFill>
        </w:rPr>
        <w:t>着力培育壮大农牧业产业化龙头企业，全面提升农牧业主导产业和特色产业规模和质量，打响“契丹牧耕”优质农畜产品区域公共品牌，依托专业市场和区域性物流基地，充分发挥对周边地区的辐射带动作用，大幅提升优质农畜产品市场供给和竞争能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建设蒙东有色金属产业集聚发展中心。</w:t>
      </w:r>
      <w:r>
        <w:rPr>
          <w:rFonts w:hint="default" w:ascii="Times New Roman" w:hAnsi="Times New Roman" w:eastAsia="仿宋_GB2312" w:cs="Times New Roman"/>
          <w:color w:val="000000" w:themeColor="text1"/>
          <w:szCs w:val="32"/>
          <w14:textFill>
            <w14:solidFill>
              <w14:schemeClr w14:val="tx1"/>
            </w14:solidFill>
          </w14:textFill>
        </w:rPr>
        <w:t>深度开发利用富集的有色金属资源，引导优质资源向重点核心企业集聚，大幅提升采选冶炼能力，持续提高产品加工制造水平，全力引进上下游企业，全面构建“探采选冶加”一体化发展格局，推动有色金属产业层次和水平不断提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建设国际契丹辽文化特色体验游中心。</w:t>
      </w:r>
      <w:r>
        <w:rPr>
          <w:rFonts w:hint="default" w:ascii="Times New Roman" w:hAnsi="Times New Roman" w:eastAsia="仿宋_GB2312" w:cs="Times New Roman"/>
          <w:color w:val="000000" w:themeColor="text1"/>
          <w:szCs w:val="32"/>
          <w14:textFill>
            <w14:solidFill>
              <w14:schemeClr w14:val="tx1"/>
            </w14:solidFill>
          </w14:textFill>
        </w:rPr>
        <w:t>全面开发和整合优质契丹辽文化旅游资源，切实提升景区景点整体管理运营能力，着力打造一批独具特色、体验感极强的文化旅游产品，健全完善旅游公共服务体系，全力推动精品景区景点整体创建为国家5A级，全力打造“契丹辽文化体验游王牌”，大幅提升游客承载和接待能力，使文化旅游产业成为经济发展新的增长极。</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建设全市城乡一体化融合发展示范区。</w:t>
      </w:r>
      <w:r>
        <w:rPr>
          <w:rFonts w:hint="default" w:ascii="Times New Roman" w:hAnsi="Times New Roman" w:eastAsia="仿宋_GB2312" w:cs="Times New Roman"/>
          <w:color w:val="000000" w:themeColor="text1"/>
          <w:szCs w:val="32"/>
          <w14:textFill>
            <w14:solidFill>
              <w14:schemeClr w14:val="tx1"/>
            </w14:solidFill>
          </w14:textFill>
        </w:rPr>
        <w:t>加快推进以人为核心的新型城镇化建设，持续拉大城市框架，持续扩大城市人口规模，全力提升产城融合程度。深入实施乡村振兴战略，均衡配置城乡发展要素，健全完善服务城乡的重大公共基础设施，推动城乡产业协调发展，促进城乡共同繁荣、携手共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建设全区生态文明示范区。</w:t>
      </w:r>
      <w:r>
        <w:rPr>
          <w:rFonts w:hint="default" w:ascii="Times New Roman" w:hAnsi="Times New Roman" w:eastAsia="仿宋_GB2312" w:cs="Times New Roman"/>
          <w:color w:val="000000" w:themeColor="text1"/>
          <w:szCs w:val="32"/>
          <w14:textFill>
            <w14:solidFill>
              <w14:schemeClr w14:val="tx1"/>
            </w14:solidFill>
          </w14:textFill>
        </w:rPr>
        <w:t>从转变农牧民生产、生活方式、调整产业结构出发，不断健全完善草原生态保护机制，保护和利用好林草资源，坚持“以草定畜”“增牛优羊”发展方向，积极推广生态围封和舍饲圈养，全力提升秸秆加工转化能力，建立健全资源循环利用体系，推动生态环境实现可持续保护和发展，切实筑牢生态安全屏障。</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建设全区基层治理现代化示范区。</w:t>
      </w:r>
      <w:r>
        <w:rPr>
          <w:rFonts w:hint="default" w:ascii="Times New Roman" w:hAnsi="Times New Roman" w:eastAsia="仿宋_GB2312" w:cs="Times New Roman"/>
          <w:color w:val="000000" w:themeColor="text1"/>
          <w:szCs w:val="32"/>
          <w14:textFill>
            <w14:solidFill>
              <w14:schemeClr w14:val="tx1"/>
            </w14:solidFill>
          </w14:textFill>
        </w:rPr>
        <w:t>强化基层组织建设，健全完善基层治理体制机制，建强旗乡村三级综治平台，强化社会治安立体化防控体系建设，着力推动“雪亮工程”建设，持续扩大基层网格员队伍，不断提升网格员能力素质，推动社会综合治理社会化、法治化、智能化、专业化发展，扎实做好社会保障工作，充分解决好人民群众关心关注的民生问题，着力构建基层社会治理新格局，保障经济社会和谐发展。</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8" w:name="_Toc64916021"/>
      <w:r>
        <w:rPr>
          <w:rFonts w:hint="default" w:ascii="Times New Roman" w:hAnsi="Times New Roman" w:eastAsia="楷体_GB2312" w:cs="Times New Roman"/>
          <w:color w:val="000000" w:themeColor="text1"/>
          <w14:textFill>
            <w14:solidFill>
              <w14:schemeClr w14:val="tx1"/>
            </w14:solidFill>
          </w14:textFill>
        </w:rPr>
        <w:t xml:space="preserve"> 主要目标</w:t>
      </w:r>
      <w:bookmarkEnd w:id="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Style w:val="6"/>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（一）2035年远景目标</w:t>
      </w: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2035年我国将基本实现社会主义现代化远景目标，届时我旗将沿着生态优先、绿色发展的高质量发展新路子，与全国一道基本实现社会主义现代化，建成综合实力更加强劲、生态环境更加美好、营商环境更加优越、产业集聚效应更加凸显、城乡发展更加协调、社会治理更加有序、人民生活更加幸福的魅力巴林左旗。综合经济实力和绿色发展水平大幅跃升，经济总量和城乡居民人均收入迈上新的大台阶；新型工业化、信息化、城镇化、农牧业现代化基本实现，富有地方特色的现代产业体系全面建成，产城融合发展达到新水平；生态环境建设取得重大成就，天蓝地绿水清的目标全面实现；社会治理体系和治理能力现代化基本实现，法治左旗、平安左旗基本建成；社会事业全面进步，文化教育、卫健体育、科技人才、群众素质、社会文明程度和民族团结进步达到新高度；基本公共服务实现均等化，城乡区域发展差距和居民生活水平差距显著缩小，人民日益增长的美好生活需要得到充分满足，人的全面发展、人民共同富裕取得更为明显的实质性进展。</w:t>
      </w:r>
    </w:p>
    <w:p>
      <w:pPr>
        <w:pStyle w:val="6"/>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（二）2025年主要目标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——生态文明建设取得新进步。</w:t>
      </w:r>
      <w:r>
        <w:rPr>
          <w:rFonts w:hint="default" w:ascii="Times New Roman" w:hAnsi="Times New Roman" w:eastAsia="仿宋_GB2312" w:cs="Times New Roman"/>
          <w:color w:val="000000" w:themeColor="text1"/>
          <w:szCs w:val="32"/>
          <w14:textFill>
            <w14:solidFill>
              <w14:schemeClr w14:val="tx1"/>
            </w14:solidFill>
          </w14:textFill>
        </w:rPr>
        <w:t>生态优先、绿色发展成为主旋律，生态保护和环境修复取得新成效，水资源保障能力不断提升，自然资源综合利用效率大幅提高，主要污染物排放持续减少，绿色生产生活方式得到普及。</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——综合经济实力实现新跨越。</w:t>
      </w:r>
      <w:r>
        <w:rPr>
          <w:rFonts w:hint="default" w:ascii="Times New Roman" w:hAnsi="Times New Roman" w:eastAsia="仿宋_GB2312" w:cs="Times New Roman"/>
          <w:color w:val="000000" w:themeColor="text1"/>
          <w:szCs w:val="32"/>
          <w14:textFill>
            <w14:solidFill>
              <w14:schemeClr w14:val="tx1"/>
            </w14:solidFill>
          </w14:textFill>
        </w:rPr>
        <w:t>经济总量显著提升，经济结构明显改善，农畜产品加工集散、矿业经济、文化旅游和新兴产业“四大集群”基本建成，产业链、供应链更加完善，主要经济指标增速高于全市平均水平，地区生产总值、公共财政预算收入、城乡常住居民人均可支配收入增速年均分别增长10%，工业增加值、固定资产投资、社会消费品零售总额年均分别增长15%。</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——城乡统筹发展取得新进展。</w:t>
      </w:r>
      <w:r>
        <w:rPr>
          <w:rFonts w:hint="default" w:ascii="Times New Roman" w:hAnsi="Times New Roman" w:eastAsia="仿宋_GB2312" w:cs="Times New Roman"/>
          <w:color w:val="000000" w:themeColor="text1"/>
          <w:szCs w:val="32"/>
          <w14:textFill>
            <w14:solidFill>
              <w14:schemeClr w14:val="tx1"/>
            </w14:solidFill>
          </w14:textFill>
        </w:rPr>
        <w:t>城镇基础设施配套水平持续提升，产城融合进一步加快，城区辐射带动作用明显增强，城镇建设水平和城镇化率明显提高。基础设施不断向农村牧区覆盖和延伸，农村牧区人居环境明显改善，基层公共服务能力不断提高，城乡公共服务均等化水平全面提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——改革开放取得新突破。</w:t>
      </w:r>
      <w:r>
        <w:rPr>
          <w:rFonts w:hint="default" w:ascii="Times New Roman" w:hAnsi="Times New Roman" w:eastAsia="仿宋_GB2312" w:cs="Times New Roman"/>
          <w:color w:val="000000" w:themeColor="text1"/>
          <w:szCs w:val="32"/>
          <w14:textFill>
            <w14:solidFill>
              <w14:schemeClr w14:val="tx1"/>
            </w14:solidFill>
          </w14:textFill>
        </w:rPr>
        <w:t>重点领域改革取得关键性进展，营商环境得到全面优化，政府服务效能明显提升，产业园区配套设施更加完善，招商引资取得显著成效，项目建设对经济的拉动效应大幅提高。</w:t>
      </w:r>
    </w:p>
    <w:p>
      <w:pPr>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b/>
          <w:color w:val="000000" w:themeColor="text1"/>
          <w:spacing w:val="-6"/>
          <w:szCs w:val="32"/>
          <w14:textFill>
            <w14:solidFill>
              <w14:schemeClr w14:val="tx1"/>
            </w14:solidFill>
          </w14:textFill>
        </w:rPr>
        <w:t>——民生福祉再迈新台阶。</w:t>
      </w:r>
      <w:r>
        <w:rPr>
          <w:rFonts w:hint="default" w:ascii="Times New Roman" w:hAnsi="Times New Roman" w:eastAsia="仿宋_GB2312" w:cs="Times New Roman"/>
          <w:color w:val="000000" w:themeColor="text1"/>
          <w:spacing w:val="-6"/>
          <w:szCs w:val="32"/>
          <w14:textFill>
            <w14:solidFill>
              <w14:schemeClr w14:val="tx1"/>
            </w14:solidFill>
          </w14:textFill>
        </w:rPr>
        <w:t>群众就业更加充分，社会保障范围持续扩大，基本公共服务更加优质均衡，教育、医疗、养老体系更加完善，民族团结、社会安定迈上更高水平，城乡居民收入增速高于全市平均水平，人民群众获得感、幸福感和安全感不断增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——社会治理能力得到新提升。</w:t>
      </w:r>
      <w:r>
        <w:rPr>
          <w:rFonts w:hint="default" w:ascii="Times New Roman" w:hAnsi="Times New Roman" w:eastAsia="仿宋_GB2312" w:cs="Times New Roman"/>
          <w:color w:val="000000" w:themeColor="text1"/>
          <w:szCs w:val="32"/>
          <w14:textFill>
            <w14:solidFill>
              <w14:schemeClr w14:val="tx1"/>
            </w14:solidFill>
          </w14:textFill>
        </w:rPr>
        <w:t>持续推进社会治理体系建设，切实提升社会治理能力。法治政府建设持续加快，坚持依法行政，严格执行重大行政决策法定程序。进一步完善行政复议工作程序，切实维护人民群众合法权益，加强行政复议应诉队伍建设，改进和创新行政复议审理方式，提高行政复议案件质量，行政效率和公信力显著提升。基层治理水平明显提高，防范化解重大风险体制机制不断健全，突发公共事件应急能力显著增强，自然灾害防御水平明显提升，发展安全保障更加有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——社会文明水平达到新高度。</w:t>
      </w:r>
      <w:r>
        <w:rPr>
          <w:rFonts w:hint="default" w:ascii="Times New Roman" w:hAnsi="Times New Roman" w:eastAsia="仿宋_GB2312" w:cs="Times New Roman"/>
          <w:color w:val="000000" w:themeColor="text1"/>
          <w:szCs w:val="32"/>
          <w14:textFill>
            <w14:solidFill>
              <w14:schemeClr w14:val="tx1"/>
            </w14:solidFill>
          </w14:textFill>
        </w:rPr>
        <w:t>社会主义核心价值观融入经济社会发展各领域，中华民族共同体意识进一步铸牢，民族团结进步事业不断加强，城乡公共文化服务体系建设水平持续提高，人民群众精神文化生活日益丰富，全社会文明程度不断提高，成功创建全国卫生城市和自治区文明城市。</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“十四五”时期经济社会发展主要指标</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20"/>
        <w:gridCol w:w="2359"/>
        <w:gridCol w:w="709"/>
        <w:gridCol w:w="858"/>
        <w:gridCol w:w="985"/>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类型</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序号</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指标名称</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单位</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w w:val="90"/>
                <w:kern w:val="0"/>
                <w:sz w:val="20"/>
                <w:szCs w:val="20"/>
              </w:rPr>
            </w:pPr>
            <w:r>
              <w:rPr>
                <w:rFonts w:hint="default" w:ascii="Times New Roman" w:hAnsi="Times New Roman" w:eastAsia="仿宋_GB2312" w:cs="Times New Roman"/>
                <w:b/>
                <w:color w:val="000000"/>
                <w:w w:val="90"/>
                <w:kern w:val="0"/>
                <w:sz w:val="20"/>
                <w:szCs w:val="20"/>
              </w:rPr>
              <w:t>2020年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w w:val="90"/>
                <w:kern w:val="0"/>
                <w:sz w:val="20"/>
                <w:szCs w:val="20"/>
              </w:rPr>
            </w:pPr>
            <w:r>
              <w:rPr>
                <w:rFonts w:hint="default" w:ascii="Times New Roman" w:hAnsi="Times New Roman" w:eastAsia="仿宋_GB2312" w:cs="Times New Roman"/>
                <w:b/>
                <w:color w:val="000000"/>
                <w:w w:val="90"/>
                <w:kern w:val="0"/>
                <w:sz w:val="20"/>
                <w:szCs w:val="20"/>
              </w:rPr>
              <w:t>实际</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w w:val="90"/>
                <w:kern w:val="0"/>
                <w:sz w:val="20"/>
                <w:szCs w:val="20"/>
              </w:rPr>
              <w:t>年均增长</w:t>
            </w:r>
            <w:r>
              <w:rPr>
                <w:rFonts w:hint="default" w:ascii="Times New Roman" w:hAnsi="Times New Roman" w:eastAsia="仿宋_GB2312" w:cs="Times New Roman"/>
                <w:b/>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2025年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w w:val="90"/>
                <w:kern w:val="0"/>
                <w:sz w:val="20"/>
                <w:szCs w:val="20"/>
              </w:rPr>
            </w:pPr>
            <w:r>
              <w:rPr>
                <w:rFonts w:hint="default" w:ascii="Times New Roman" w:hAnsi="Times New Roman" w:eastAsia="仿宋_GB2312" w:cs="Times New Roman"/>
                <w:b/>
                <w:color w:val="000000"/>
                <w:w w:val="90"/>
                <w:kern w:val="0"/>
                <w:sz w:val="20"/>
                <w:szCs w:val="20"/>
              </w:rPr>
              <w:t>规划目标</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w w:val="90"/>
                <w:kern w:val="0"/>
                <w:sz w:val="20"/>
                <w:szCs w:val="20"/>
              </w:rPr>
              <w:t>年均增长</w:t>
            </w:r>
            <w:r>
              <w:rPr>
                <w:rFonts w:hint="default" w:ascii="Times New Roman" w:hAnsi="Times New Roman" w:eastAsia="仿宋_GB2312" w:cs="Times New Roman"/>
                <w:b/>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指标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20"/>
                <w:szCs w:val="20"/>
              </w:rPr>
            </w:pPr>
            <w:r>
              <w:rPr>
                <w:rFonts w:hint="default" w:ascii="Times New Roman" w:hAnsi="Times New Roman" w:eastAsia="仿宋_GB2312" w:cs="Times New Roman"/>
                <w:b/>
                <w:color w:val="000000"/>
                <w:kern w:val="0"/>
                <w:sz w:val="20"/>
                <w:szCs w:val="20"/>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经济发展</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地区生产总值</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亿元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124.2</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4.9</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230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一般公共财政预算</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亿元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4.17</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-3.2</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6</w:t>
            </w:r>
            <w:r>
              <w:rPr>
                <w:rFonts w:hint="default"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lang w:val="en-US" w:eastAsia="zh-CN"/>
              </w:rPr>
              <w:t>7</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规模以上固定资产投资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亿元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4.8</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社会消费品零售总额</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亿元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44.8</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5.8</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全员劳动生产率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常住人口城镇化率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50</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56</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创新驱动</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全社会研发经费投入增长</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每万人口高价值发明专利拥有量</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件</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1.5以上</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数字经济核心产业增加值占地区生产总值比重</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民生福祉</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城镇常住居民人均可支配收入</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31181</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6.9</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50193</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农村牧区常住居民人均可支配收入</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12373</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9.6</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19922</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劳动年龄人口平均受教育年限</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10.4</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13</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每千人拥有执业（助理）医师数</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3.4　</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3.5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14</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人均预期寿命</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岁</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75.3</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76</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绿色生态</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15</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单位地区生产总值能源消耗</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9</w:t>
            </w:r>
            <w:r>
              <w:rPr>
                <w:rFonts w:hint="default" w:ascii="Times New Roman" w:hAnsi="Times New Roman" w:eastAsia="仿宋_GB2312" w:cs="Times New Roman"/>
                <w:color w:val="000000"/>
                <w:kern w:val="0"/>
                <w:sz w:val="20"/>
                <w:szCs w:val="20"/>
              </w:rPr>
              <w:t>（累计下降）</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达到自治区要求</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安全保障</w:t>
            </w:r>
          </w:p>
        </w:tc>
        <w:tc>
          <w:tcPr>
            <w:tcW w:w="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16</w:t>
            </w:r>
          </w:p>
        </w:tc>
        <w:tc>
          <w:tcPr>
            <w:tcW w:w="2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粮食综合生产能力</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万吨</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57.7</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达到自治区要求</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约束性</w:t>
            </w:r>
          </w:p>
        </w:tc>
      </w:tr>
    </w:tbl>
    <w:p>
      <w:pPr>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Cs w:val="32"/>
          <w14:textFill>
            <w14:solidFill>
              <w14:schemeClr w14:val="tx1"/>
            </w14:solidFill>
          </w14:textFill>
        </w:rPr>
      </w:pPr>
    </w:p>
    <w:p>
      <w:pPr>
        <w:pStyle w:val="4"/>
        <w:pageBreakBefore w:val="0"/>
        <w:widowControl w:val="0"/>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14:textFill>
            <w14:solidFill>
              <w14:schemeClr w14:val="tx1"/>
            </w14:solidFill>
          </w14:textFill>
        </w:rPr>
      </w:pPr>
      <w:bookmarkStart w:id="9" w:name="_Toc64916022"/>
      <w:r>
        <w:rPr>
          <w:rFonts w:hint="default" w:ascii="Times New Roman" w:hAnsi="Times New Roman" w:eastAsia="黑体" w:cs="Times New Roman"/>
          <w:color w:val="000000" w:themeColor="text1"/>
          <w14:textFill>
            <w14:solidFill>
              <w14:schemeClr w14:val="tx1"/>
            </w14:solidFill>
          </w14:textFill>
        </w:rPr>
        <w:t xml:space="preserve"> 坚持生态优先绿色发展 坚定筑牢生态安全屏障</w:t>
      </w:r>
      <w:bookmarkEnd w:id="9"/>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生态立旗”战略，深刻践行“生态优先、绿色发展”理念，全领域、全过程、全方位加强生态环境保护力度，坚决守住自然生态安全边界，着力推进生态系统保护修复，努力形成绿色生产生活方式，推动全旗生态文明建设再上新台阶，全力打造绿色巴林左旗。</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5"/>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10" w:name="_Toc64916023"/>
      <w:r>
        <w:rPr>
          <w:rFonts w:hint="default" w:ascii="Times New Roman" w:hAnsi="Times New Roman" w:eastAsia="楷体_GB2312" w:cs="Times New Roman"/>
          <w:color w:val="000000" w:themeColor="text1"/>
          <w14:textFill>
            <w14:solidFill>
              <w14:schemeClr w14:val="tx1"/>
            </w14:solidFill>
          </w14:textFill>
        </w:rPr>
        <w:t xml:space="preserve"> 优化国土空间开发保护格局</w:t>
      </w:r>
      <w:bookmarkEnd w:id="10"/>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严格落实国家、自治区、赤峰市区域发展战略和主体功能区战略，科学编制旗级国土空间总体规划和乡镇国土空间规划，发挥主体功能区作为国土空间开发保护基础制度的作用，统筹资源、分类施策，形成“一本规划”“一张蓝图”，全面提升国土空间治理体系和治理能力现代化水平。科学划定保护与开发边界，综合考虑资源环境承载能力和国土空间开发适应性，统筹“三区三线”管控需要，明确生态、农牧业、城镇空间，科学划定生态保护红线、永久基本农田和城镇开发边界三条控制线。强化国土空间用途管制，优化重大基础设施、重大生产力和公共资源布局。推动城镇低效建设用地再开发，推进企业向园区集中，促进产业集群化发展。加</w:t>
      </w:r>
      <w:r>
        <w:rPr>
          <w:rFonts w:hint="eastAsia" w:ascii="Times New Roman" w:hAnsi="Times New Roman" w:eastAsia="仿宋_GB2312" w:cs="Times New Roman"/>
          <w:color w:val="000000" w:themeColor="text1"/>
          <w:szCs w:val="32"/>
          <w:lang w:eastAsia="zh-CN"/>
          <w14:textFill>
            <w14:solidFill>
              <w14:schemeClr w14:val="tx1"/>
            </w14:solidFill>
          </w14:textFill>
        </w:rPr>
        <w:t>快</w:t>
      </w:r>
      <w:r>
        <w:rPr>
          <w:rFonts w:hint="default" w:ascii="Times New Roman" w:hAnsi="Times New Roman" w:eastAsia="仿宋_GB2312" w:cs="Times New Roman"/>
          <w:color w:val="000000" w:themeColor="text1"/>
          <w:szCs w:val="32"/>
          <w14:textFill>
            <w14:solidFill>
              <w14:schemeClr w14:val="tx1"/>
            </w14:solidFill>
          </w14:textFill>
        </w:rPr>
        <w:t>谋划北塔公园、渤海公园、桃花岛公园、沙里街片区、中心城区“出入口”等规划编制，确保2025年城市控规覆盖率达到100%。合理确定镇区规模、人口密度、空间结构，加强自然资源和历史文化资源的保护，围绕国道305、303和县道192、193等公路工程，统筹土地资源、产业聚集等要素，稳步推进乡村振兴战略实施，放大区位优势，积极培育康养、休闲旅游、文化旅游与现代农业产业。结合村庄布局优化要求，推进乡村地区山水林田湖草全要素综合整治，推动柴达木村、东方红村、全胜村等区域建设，建设美丽乡村。</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1" w:name="_Toc64916024"/>
      <w:r>
        <w:rPr>
          <w:rFonts w:hint="default" w:ascii="Times New Roman" w:hAnsi="Times New Roman" w:eastAsia="楷体_GB2312" w:cs="Times New Roman"/>
          <w:color w:val="000000" w:themeColor="text1"/>
          <w14:textFill>
            <w14:solidFill>
              <w14:schemeClr w14:val="tx1"/>
            </w14:solidFill>
          </w14:textFill>
        </w:rPr>
        <w:t xml:space="preserve"> 加强生态系统保护修复力度</w:t>
      </w:r>
      <w:bookmarkEnd w:id="11"/>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划定体现底色的生态空间。</w:t>
      </w:r>
      <w:r>
        <w:rPr>
          <w:rFonts w:hint="default" w:ascii="Times New Roman" w:hAnsi="Times New Roman" w:eastAsia="仿宋_GB2312" w:cs="Times New Roman"/>
          <w:color w:val="000000" w:themeColor="text1"/>
          <w:szCs w:val="32"/>
          <w14:textFill>
            <w14:solidFill>
              <w14:schemeClr w14:val="tx1"/>
            </w14:solidFill>
          </w14:textFill>
        </w:rPr>
        <w:t>按照“国土纵深以自然修复为主，重点区域加强保护性工程建设”的工作思路，统筹抓好生态修复和生态建设，严格控制对草牧场、林地、湿地等基础性生态用地的开发利用，对乌兰坝林场、石棚沟林场和林东林场等重点公益林和生态保护区进行强制性保护，对生态脆弱区进行积极保护，加快监测体系建设，有效控制毁林毁草开垦、湿地围垦现象，综合整治水土流失，使全旗土地生态利用结构和空间布局更趋合理。到“十四五”期末，生态环境安全控制区2078公顷，占土地总面积的0.32%。林业用地264820公顷，占全旗土地总面积的39.84%。牧业用地182860公顷，占全旗土地总面积的27.51%，生态空间占国土空间达到67.35％。保护好草原和林地，全面提升林草质量，提高林草生态系统生产力，实施巴林左旗重点区域山水林田湖草生态系统保护修复工程，构筑以北部大兴安岭南麓水源涵养林区和南部科尔沁沙地防风固沙林区为主体的生态安全屏障。</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坚定不移保护草原生态。</w:t>
      </w:r>
      <w:r>
        <w:rPr>
          <w:rFonts w:hint="default" w:ascii="Times New Roman" w:hAnsi="Times New Roman" w:eastAsia="仿宋_GB2312" w:cs="Times New Roman"/>
          <w:color w:val="000000" w:themeColor="text1"/>
          <w:szCs w:val="32"/>
          <w14:textFill>
            <w14:solidFill>
              <w14:schemeClr w14:val="tx1"/>
            </w14:solidFill>
          </w14:textFill>
        </w:rPr>
        <w:t>把保护草原作为生态系统保护的首要任务，继续实施草原生态保护与修复工程，坚决保护草原资源，坚持“以草定畜”，不断完善生态禁牧休牧和草畜平衡制度，严格落实草原生态保护补助奖励政策，持续推动“舍饲圈养”向“舍饲精养”转变，探索草场资源科学利用新模式，支持和鼓励合作社、联户开展草原网围栏并网经营，解决草场碎片化问题，提升草原质量和科技饲养水平。因地制宜开展草场围封、人工种草、草地改良，在全旗范围内发展草产业基地3个，到2025年全旗草原覆盖率达到27%。</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保护和开发林业资源。</w:t>
      </w:r>
      <w:r>
        <w:rPr>
          <w:rFonts w:hint="default" w:ascii="Times New Roman" w:hAnsi="Times New Roman" w:eastAsia="仿宋_GB2312" w:cs="Times New Roman"/>
          <w:color w:val="000000" w:themeColor="text1"/>
          <w:szCs w:val="32"/>
          <w14:textFill>
            <w14:solidFill>
              <w14:schemeClr w14:val="tx1"/>
            </w14:solidFill>
          </w14:textFill>
        </w:rPr>
        <w:t>进一步巩固生态建设成果，全面推行“林（草）长制”，加快乌兰坝国家级自然保护区建设进程，加大自然生态和野生动植物资源保护力度。持续推进京津风沙源治理工程，实施环林东城区周边3万亩生态防护林保护工程，每年完成人工固沙造林乔木1万亩、沙生灌木平茬5万亩，退化林修复10万亩。巩固和完善果树经济林基地建设，实施山杏围封扁杏嫁接百万亩生态提升工程，加快转变林业发展方式，积极培育林下产业，实现生态效益和经济效益的有机结合。加强种子园建设，年生产华北落叶松良种400公斤以上，年生产兴安落叶松良种100公斤，收集槭树类观赏树种种质资源120份，年生产槭树类观赏树种良种穗条5万条。“十四五”期间完成营造面积126万亩，全旗森林覆盖率提高到39.08%，林草总覆盖率达到66.02%。</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2" w:name="_Toc64916025"/>
      <w:r>
        <w:rPr>
          <w:rFonts w:hint="default" w:ascii="Times New Roman" w:hAnsi="Times New Roman" w:eastAsia="楷体_GB2312" w:cs="Times New Roman"/>
          <w:color w:val="000000" w:themeColor="text1"/>
          <w14:textFill>
            <w14:solidFill>
              <w14:schemeClr w14:val="tx1"/>
            </w14:solidFill>
          </w14:textFill>
        </w:rPr>
        <w:t xml:space="preserve"> 巩固和提升环境质量</w:t>
      </w:r>
      <w:bookmarkEnd w:id="12"/>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以大气、水、土壤污染防治为重点，深入开展污染防治攻坚行动，聚焦主要污染物达标排放，坚持“源头预防、全程管控、高效治理”原则，以完成好上级生态环境保护督察反馈意见整改落实为契机，不断巩固全旗生态建设和环境保护工作成果，有效防范各类环境风险隐患，持续改善生态环境质量。严格落实“三线一单</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政策，守住生态环境安全底线。制定主体功能区用途管制清单及产业准入负面清单，推动“三线一单”落实落细，实现“三线一单”成果的动态评价与管理。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加</w:t>
      </w:r>
      <w:r>
        <w:rPr>
          <w:rFonts w:hint="eastAsia" w:ascii="Times New Roman" w:hAnsi="Times New Roman" w:eastAsia="仿宋_GB2312" w:cs="Times New Roman"/>
          <w:b/>
          <w:color w:val="000000" w:themeColor="text1"/>
          <w:szCs w:val="32"/>
          <w:lang w:eastAsia="zh-CN"/>
          <w14:textFill>
            <w14:solidFill>
              <w14:schemeClr w14:val="tx1"/>
            </w14:solidFill>
          </w14:textFill>
        </w:rPr>
        <w:t>强</w:t>
      </w:r>
      <w:r>
        <w:rPr>
          <w:rFonts w:hint="default" w:ascii="Times New Roman" w:hAnsi="Times New Roman" w:eastAsia="仿宋_GB2312" w:cs="Times New Roman"/>
          <w:b/>
          <w:color w:val="000000" w:themeColor="text1"/>
          <w:szCs w:val="32"/>
          <w14:textFill>
            <w14:solidFill>
              <w14:schemeClr w14:val="tx1"/>
            </w14:solidFill>
          </w14:textFill>
        </w:rPr>
        <w:t>大气污染治理。</w:t>
      </w:r>
      <w:r>
        <w:rPr>
          <w:rFonts w:hint="default" w:ascii="Times New Roman" w:hAnsi="Times New Roman" w:eastAsia="仿宋_GB2312" w:cs="Times New Roman"/>
          <w:color w:val="000000" w:themeColor="text1"/>
          <w:szCs w:val="32"/>
          <w14:textFill>
            <w14:solidFill>
              <w14:schemeClr w14:val="tx1"/>
            </w14:solidFill>
          </w14:textFill>
        </w:rPr>
        <w:t>重点加大冶金、建材、化工等非电力行业的主要污染物减排力度，鼓励企业实施工艺提升改造，加快脱硫脱硝除尘设施建设，严格控制大气污染。推进天然气、光电、风电等清洁能源使用，推广生物质燃料替代煤炭燃料，燃煤锅炉走升级改造路线，以集中供热替代小型燃煤锅炉，对大吨位燃煤锅炉因地制宜安装脱硫设施，重点实施苏木乡镇政府、学校及卫生院燃煤锅炉清洁能源替代项目和平房区燃煤炉具节能改造项目，工业园区以及产业集聚的地区实现集中供热或采取余热供热，逐步淘汰分散燃煤锅炉。加强建筑扬尘、汽车尾气、挥发性有机物防控治理，尽可能减少对空气的污染。到2025年，力争实现林东城区环境空气质量达到《环境空气质量标准》II级标准，大气环境风险得到有效管控，空气优良天数比例不断提</w:t>
      </w:r>
      <w:r>
        <w:rPr>
          <w:rFonts w:hint="eastAsia" w:ascii="Times New Roman" w:hAnsi="Times New Roman" w:eastAsia="仿宋_GB2312" w:cs="Times New Roman"/>
          <w:color w:val="000000" w:themeColor="text1"/>
          <w:szCs w:val="32"/>
          <w:lang w:eastAsia="zh-CN"/>
          <w14:textFill>
            <w14:solidFill>
              <w14:schemeClr w14:val="tx1"/>
            </w14:solidFill>
          </w14:textFill>
        </w:rPr>
        <w:t>高</w:t>
      </w:r>
      <w:r>
        <w:rPr>
          <w:rFonts w:hint="default" w:ascii="Times New Roman" w:hAnsi="Times New Roman" w:eastAsia="仿宋_GB2312" w:cs="Times New Roman"/>
          <w:color w:val="000000" w:themeColor="text1"/>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加大水污染治理</w:t>
      </w:r>
      <w:r>
        <w:rPr>
          <w:rFonts w:hint="eastAsia" w:ascii="Times New Roman" w:hAnsi="Times New Roman" w:eastAsia="仿宋_GB2312" w:cs="Times New Roman"/>
          <w:b/>
          <w:color w:val="000000" w:themeColor="text1"/>
          <w:szCs w:val="32"/>
          <w:lang w:eastAsia="zh-CN"/>
          <w14:textFill>
            <w14:solidFill>
              <w14:schemeClr w14:val="tx1"/>
            </w14:solidFill>
          </w14:textFill>
        </w:rPr>
        <w:t>力度</w:t>
      </w:r>
      <w:r>
        <w:rPr>
          <w:rFonts w:hint="default" w:ascii="Times New Roman" w:hAnsi="Times New Roman" w:eastAsia="仿宋_GB2312" w:cs="Times New Roman"/>
          <w:b/>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不断加大污水处理、水源地保护力度，全力防止出现黑臭水体，确保地表水环境质量实现明显好转。持续开展河道“清四乱”专项行动，加大检查执法力度，严惩违法超标排放行为。有效加强入河排污口监督管理工作力度，规范审批入河排污口设置，不断提升水功能区限制纳污控制管理水平。严格城乡饮用水水源地规范化建设，加大水源地违法违规问题整改力度，保障饮用水水源地水环境安全。加快推进农村牧区污水集中处理工程，“十四五”期间，完成全旗重点苏木乡镇政府所在地人口聚集区生活污水集中处置工程。到2025年，力争实现城乡集中式饮用水水源水质达到或优于Ⅲ类水质，达标率保持100%；全旗地表水环境质量稳定向好，控制断面保持或优于Ⅲ类水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加大土壤污染治理。</w:t>
      </w:r>
      <w:r>
        <w:rPr>
          <w:rFonts w:hint="default" w:ascii="Times New Roman" w:hAnsi="Times New Roman" w:eastAsia="仿宋_GB2312" w:cs="Times New Roman"/>
          <w:color w:val="000000" w:themeColor="text1"/>
          <w:szCs w:val="32"/>
          <w14:textFill>
            <w14:solidFill>
              <w14:schemeClr w14:val="tx1"/>
            </w14:solidFill>
          </w14:textFill>
        </w:rPr>
        <w:t>优先保护农用地土壤环境，确保实现土壤环境质量达标率不低于现状值，并将其作为土壤环境安全底线严格管控。抓好农牧业面源污染防治，实施畜禽养殖污染防治和粪污资源化利用工程、农药包装废弃物回收与无害化处置工程，落实化肥、农药、农膜负增长行动，实现农作物秸秆、林业“三剩物”和规模化养殖场粪便资源化利用。切实加强土壤污染源头控制，重点抓好尾矿库污染防控和重金属减排、土壤修复治理工作，加大矿山企业尾矿库排查检查和监管执法力度，有效控制尾矿库环境风险。启动工业园区一般固废渣场、危废渣场二期，探索实施工业固废、危废综合循环利用与循环处置。深化无主废弃矿山地质环境治理，加强采空区和废弃矿井填埋力度，有效杜绝环境风险。</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3" w:name="_Toc64916026"/>
      <w:r>
        <w:rPr>
          <w:rFonts w:hint="default" w:ascii="Times New Roman" w:hAnsi="Times New Roman" w:eastAsia="楷体_GB2312" w:cs="Times New Roman"/>
          <w:color w:val="000000" w:themeColor="text1"/>
          <w14:textFill>
            <w14:solidFill>
              <w14:schemeClr w14:val="tx1"/>
            </w14:solidFill>
          </w14:textFill>
        </w:rPr>
        <w:t xml:space="preserve"> 推进资源节约集约高效利用</w:t>
      </w:r>
      <w:bookmarkEnd w:id="1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不断探索和引进循环产业发展。</w:t>
      </w:r>
      <w:r>
        <w:rPr>
          <w:rFonts w:hint="default" w:ascii="Times New Roman" w:hAnsi="Times New Roman" w:eastAsia="仿宋_GB2312" w:cs="Times New Roman"/>
          <w:color w:val="000000" w:themeColor="text1"/>
          <w:szCs w:val="32"/>
          <w14:textFill>
            <w14:solidFill>
              <w14:schemeClr w14:val="tx1"/>
            </w14:solidFill>
          </w14:textFill>
        </w:rPr>
        <w:t>有效推动能源节约集约利用，实施能耗总量和强度“双控”，全面推进重点领域和重点企业节能降耗。鼓励企业实施清洁生产改造，通过实施先进适用的绿色基础制造工艺等清洁生产技术，推动传统基础制造工艺智能化发展。加强工业节能总量控制，强化高能耗行业能耗管控，在重点耗能行业全面推行能效对标。推动粉煤灰、工业副产石膏、冶炼和化工废渣、硫酸、尾矿渣等工业废物及副产品的综合利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落实最严格的水资源管理制度。</w:t>
      </w:r>
      <w:r>
        <w:rPr>
          <w:rFonts w:hint="default" w:ascii="Times New Roman" w:hAnsi="Times New Roman" w:eastAsia="仿宋_GB2312" w:cs="Times New Roman"/>
          <w:color w:val="000000" w:themeColor="text1"/>
          <w:szCs w:val="32"/>
          <w14:textFill>
            <w14:solidFill>
              <w14:schemeClr w14:val="tx1"/>
            </w14:solidFill>
          </w14:textFill>
        </w:rPr>
        <w:t>坚持“以水而定、量水而行”的原则，围绕水资源的开发和利用、节约和保护，全面实行用水总量控制与定额管理办法，全面落实“河长制”。加强水源地生态保护与治理，扎实推进重点区域生态治理，实施坡耕地水土流失综合治理面积68平方公里，加快实施琥珀沟水利枢纽工程、巴林左旗中型灌区节水改造、库区周边水源涵养等综合治理工程，建成乌力吉沐沦河国家湿地公园。积极推广高效节水农业，加快节水技术改造，提高农业用水效率。全面加强地下水保护，大力推动工业企业使用再生水，监督强化企业节水技术改造，提高工业用水重复利用率。严格控制用水总量，对区域内重点行业实施取水量控制，实施居民节水改造，加快构建节水型社会。</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全面推进绿色矿山建设。</w:t>
      </w:r>
      <w:r>
        <w:rPr>
          <w:rFonts w:hint="default" w:ascii="Times New Roman" w:hAnsi="Times New Roman" w:eastAsia="仿宋_GB2312" w:cs="Times New Roman"/>
          <w:color w:val="000000" w:themeColor="text1"/>
          <w:szCs w:val="32"/>
          <w14:textFill>
            <w14:solidFill>
              <w14:schemeClr w14:val="tx1"/>
            </w14:solidFill>
          </w14:textFill>
        </w:rPr>
        <w:t>以我旗进入内蒙古赤北绿色矿业发展示范区为契机，严格新建矿山准入标准、推进生产矿山达标建设，推动地企和谐发展。2023年底前，全旗矿山基本达到绿色矿山建设条件，资源集约节约利用水平显著提高，矿山生态环境得到有效保护，矿业经济步入绿色可持续发展的良性循环轨道。2025年底前，全旗所有矿山达到自治区及以上绿色矿山建设标准，不符合绿色矿山建设标准的矿山企业坚决依法退出。对纳入国家或自治区名录库的矿山企业，按照规定给予相关企业矿产资源支持、绿色矿山建设用地支持、绿色矿山企业复垦盘活存量工矿用地支持、财税支持、绿色金融扶持等政策优惠。</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严格农用地特别是耕地保护。</w:t>
      </w:r>
      <w:r>
        <w:rPr>
          <w:rFonts w:hint="default" w:ascii="Times New Roman" w:hAnsi="Times New Roman" w:eastAsia="仿宋_GB2312" w:cs="Times New Roman"/>
          <w:color w:val="000000" w:themeColor="text1"/>
          <w:szCs w:val="32"/>
          <w14:textFill>
            <w14:solidFill>
              <w14:schemeClr w14:val="tx1"/>
            </w14:solidFill>
          </w14:textFill>
        </w:rPr>
        <w:t>加强永久基本农田保护力度，严禁非农建设占用永久基本农田，</w:t>
      </w:r>
      <w:r>
        <w:rPr>
          <w:rFonts w:hint="eastAsia" w:ascii="Times New Roman" w:hAnsi="Times New Roman" w:eastAsia="仿宋_GB2312" w:cs="Times New Roman"/>
          <w:color w:val="000000" w:themeColor="text1"/>
          <w:szCs w:val="32"/>
          <w:lang w:eastAsia="zh-CN"/>
          <w14:textFill>
            <w14:solidFill>
              <w14:schemeClr w14:val="tx1"/>
            </w14:solidFill>
          </w14:textFill>
        </w:rPr>
        <w:t>严禁耕地“非粮化”，</w:t>
      </w:r>
      <w:r>
        <w:rPr>
          <w:rFonts w:hint="default" w:ascii="Times New Roman" w:hAnsi="Times New Roman" w:eastAsia="仿宋_GB2312" w:cs="Times New Roman"/>
          <w:color w:val="000000" w:themeColor="text1"/>
          <w:szCs w:val="32"/>
          <w14:textFill>
            <w14:solidFill>
              <w14:schemeClr w14:val="tx1"/>
            </w14:solidFill>
          </w14:textFill>
        </w:rPr>
        <w:t>保障全旗9.2万公顷永久基本农田面积不减少、质量不降低。积极推进农牧业产业内部结构调整，合理引导一般耕地、林地、草地及其它农用地的合理利用，稳步提高农牧业用地综合生产能力，保证全旗永久基本农田占耕地比例保持在82%以上。优化配置建设用地，合理布局，在保障重大基础设施工程项目用地的基础上，积极引导建设用地优化配置。城镇工矿用地规模控制在3202公顷，人均城镇工矿用地216平方米，独立工矿区660公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4" w:name="_Toc64916027"/>
      <w:r>
        <w:rPr>
          <w:rFonts w:hint="default" w:ascii="Times New Roman" w:hAnsi="Times New Roman" w:eastAsia="楷体_GB2312" w:cs="Times New Roman"/>
          <w:color w:val="000000" w:themeColor="text1"/>
          <w14:textFill>
            <w14:solidFill>
              <w14:schemeClr w14:val="tx1"/>
            </w14:solidFill>
          </w14:textFill>
        </w:rPr>
        <w:t xml:space="preserve"> 推行绿色低碳发展模式</w:t>
      </w:r>
      <w:bookmarkEnd w:id="14"/>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围绕冶金、能源、化工等重点行业，持续建设巴林左旗循环经济产业园区，打造以龙头企业为主体、以产业园区为平台、以产业链为主线的循环经济发展框架。强化绿色发展的法律和政策保障，支持绿色技术创新，推进清洁生产，发展环保产业，推进重点行业和重要领域绿色化改造。强化工业源头设计、清洁生产、循环发展、末端处理以及可再生能源规模化应用。加快发展绿色低碳交通运输，加快推广新能源汽车，着力推进清洁节能公共交通。倡导低碳生活与绿色消费方式，鼓励消费者绿色出行、适度消费，引导消费者抵制过度包装、铺张浪费，全面建设绿色城市与社区。加强塑料污染治理，着力构建多元共治格局，推进垃圾分类和减量化、资源化，加快构建废旧物资循环利用体系。</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15" w:name="_Toc64916028"/>
      <w:r>
        <w:rPr>
          <w:rFonts w:hint="default" w:ascii="Times New Roman" w:hAnsi="Times New Roman" w:eastAsia="黑体" w:cs="Times New Roman"/>
          <w:color w:val="000000" w:themeColor="text1"/>
          <w14:textFill>
            <w14:solidFill>
              <w14:schemeClr w14:val="tx1"/>
            </w14:solidFill>
          </w14:textFill>
        </w:rPr>
        <w:t xml:space="preserve"> 加快集中集聚集约发展 构建现代产业体系</w:t>
      </w:r>
      <w:bookmarkEnd w:id="1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发展第一要务不动摇，树牢生态优先、绿色发展鲜明导向，准确把握高质量发展根本要求，稳步推进产业结构调整和转型升级，着力推动主导产业集中培育、开发空间集聚布局、要素资源集约配置，加快形成产业集群效应和产业强链优势，持续提升产业链供应链现代化水平，以产业融合发展为核心，以园区建设和招商引资为重点，在农业方面实施结构优化工程、科技支撑工程，在工业方面实施有色金属产业巩固强基工程、非金属矿产业挖潜扩面工程，农畜产品加工业品牌塑造工程，高端能源化工产业破题攻关工程，在文化旅游方面实施品味提升工程、织网融合工程。全力打造“农畜产品加工、矿业经济、文化旅游、新兴产业”四大产业集群。构建多元发展、多极支撑</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一二三产有效互动、相互促进的现代产业体系，切实增强产业发展竞争力。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16" w:name="_Toc64916029"/>
      <w:r>
        <w:rPr>
          <w:rFonts w:hint="default" w:ascii="Times New Roman" w:hAnsi="Times New Roman" w:eastAsia="楷体_GB2312" w:cs="Times New Roman"/>
          <w:color w:val="000000" w:themeColor="text1"/>
          <w14:textFill>
            <w14:solidFill>
              <w14:schemeClr w14:val="tx1"/>
            </w14:solidFill>
          </w14:textFill>
        </w:rPr>
        <w:t xml:space="preserve"> 发展现代农牧业</w:t>
      </w:r>
      <w:bookmarkEnd w:id="16"/>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化农牧业供给侧结构性改革，切实转变农牧业发展方式，大力实施结构优化工程，着力优化农牧业种养殖结构，提高特色优势品种、新品种的种养殖比重，大力实施品牌塑造工程，提高巴林左旗农畜产品科技含量、产品质量、市场影响力和占有率。坚定不移走以集中集聚集约为导向的农牧业高质量发展新路子，全力打造农畜产品加工集散集群。立足资源禀赋和产业基础，培育壮大特色主导产业，着力提升农畜产品就地加工转化能力，推进一二三产融合发展。到2025年，销售收入500万元以上龙头企业达到100家，农畜产品就地加工转化率达到75%以上，高标准农田达到60万亩，粮食产量达到15亿斤，全面实现农牧民人均“每年制作出售500把笤帚，存栏2头牛、1头驴”的目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优化种植业结构。</w:t>
      </w:r>
      <w:r>
        <w:rPr>
          <w:rFonts w:hint="default" w:ascii="Times New Roman" w:hAnsi="Times New Roman" w:eastAsia="仿宋_GB2312" w:cs="Times New Roman"/>
          <w:color w:val="000000" w:themeColor="text1"/>
          <w:szCs w:val="32"/>
          <w14:textFill>
            <w14:solidFill>
              <w14:schemeClr w14:val="tx1"/>
            </w14:solidFill>
          </w14:textFill>
        </w:rPr>
        <w:t>实施“增经优粮，做强笤帚苗产业”战略，调整优化种植结构，不断扩大笤帚苗、杂粮杂豆、绿色蔬菜、中药材、食用菌等特色作物种植面积。深入落实藏粮于地、藏粮于技战略，巩固和提高粮食综合生产能力和有效供给能力，实施优质杂粮种植加工一体化项目，稳定优质杂粮种植50万亩，发展绿色、有机杂粮豆标准化基地15万亩，全旗粮食播种面积稳定在180万亩以上。做强笤帚苗产业，推进笤帚苗“一带三区”规模化种植加工基地建设，实施笤帚苗产业提升项目，提纯扶壮本地品种，打造5个特色产业融合发展示范强镇</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高标准建成笤帚苗综合服务平台，同步开展产业工人培训和产品研发推广，加强特色品牌塑造和营销，推动笤帚苗就地加工转化率和产品附加值不断攀升</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构建“笤帚苗种植－精深加工－旅游体验－文创产品－品牌建设－市场营销”产业链，实现“中国笤帚苗之乡”向“中国笤帚之乡”转变，建成全国笤帚苗产品集散地。大力发展中蒙药材、食用菌、甜菜等特色农产品。到2025年，全旗笤帚苗种植面积稳定在35万亩，甜菜、中药材种植面积达到5万亩，设施农业占地面积达到8万亩、露地蔬菜种植面积在10万亩左右。</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调整畜牧业结构。</w:t>
      </w:r>
      <w:r>
        <w:rPr>
          <w:rFonts w:hint="default" w:ascii="Times New Roman" w:hAnsi="Times New Roman" w:eastAsia="仿宋_GB2312" w:cs="Times New Roman"/>
          <w:color w:val="000000" w:themeColor="text1"/>
          <w:szCs w:val="32"/>
          <w14:textFill>
            <w14:solidFill>
              <w14:schemeClr w14:val="tx1"/>
            </w14:solidFill>
          </w14:textFill>
        </w:rPr>
        <w:t>大力实施“增牛优羊，做优肉驴产业”战略，持续健全品种改良防疫体系、饲草料保障体系和金融服务体系，促进种养结合、做强农区舍饲畜牧业，注重草畜平衡、做优草原生态畜牧业。推动肉牛产业“一区六带”建设，鼓励支持规模化养殖场标准化提升和扩能提效，保持优质肉牛改良率97%以上。实施巴林左旗肉牛循环产业养殖扶贫项目，在富河镇、隆昌镇等建设标准化养殖场和养殖、粪便处理、市场交易一体化园区。构建“肉牛繁育－饲养－精深加工－冷链物流－市场营销”产业链，建设全区肉牛高质量发展示范区。到2025年，实现肉牛饲养总量达到50万头，肉牛养殖专业村达到100个以上。做优肉驴产业，集中培育林东镇、碧流台镇等肉驴产业融合示范强镇，建设全国驴产业高质量发展示范区。依托中金驴业、天龙食品、五旺合作社等新型经营主体，联合建设肉驴标准化基地、乌头驴良种繁育基地、驴副产品加工生产线及活畜交易服务平台，建设万头商品驴标准化养殖示范基地、千头乌头驴种源繁育基地各2处以上。到2025年，肉驴饲养总量达到30万头。落实奶业振兴计划，加快富召和达丰两处奶牛养殖加工基地建设，加强奶牛养殖场建设，推进奶制品深加工，实现产加销全产业链发展。建设肉羊高效养殖基地，抓好“昭乌达”“杜蒙”等增效适销肉羊品种推广和改良服务体系建设，依托富承祥等新型经营主体打造产业化示范联合体，示范带动中小养殖户降低饲草成本、提高养殖效益。到2025年，全旗保持优质肉羊年出栏能力100万只以上。</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提高农畜产品质量安全水平。</w:t>
      </w:r>
      <w:r>
        <w:rPr>
          <w:rFonts w:hint="default" w:ascii="Times New Roman" w:hAnsi="Times New Roman" w:eastAsia="仿宋_GB2312" w:cs="Times New Roman"/>
          <w:color w:val="000000" w:themeColor="text1"/>
          <w:szCs w:val="32"/>
          <w14:textFill>
            <w14:solidFill>
              <w14:schemeClr w14:val="tx1"/>
            </w14:solidFill>
          </w14:textFill>
        </w:rPr>
        <w:t>坚持绿色高质量发展，提升农牧业创新力、竞争力和全要素生产率，打造质量兴农升级版。实施农牧业生产标准化行动，集成推广绿色高效技术模式，完善主要农畜产品全程标准化生产技术体系和管理体系。开展农畜产品质量安全监管能力提升行动，加强监管体系、质检体系、执法体系和信用体系建设。加速构建农畜产品质量安全追溯体系，完成旗级农畜产品检测中心“双认证”，落实食用农畜产品合格证制度，完善产地准出、市场准入衔接机制，做好农畜产品质量安全追溯挂钩衔接工作，创建“国家农畜产品质量安全县”。</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建设现代农牧业产业园。</w:t>
      </w:r>
      <w:r>
        <w:rPr>
          <w:rFonts w:hint="default" w:ascii="Times New Roman" w:hAnsi="Times New Roman" w:eastAsia="仿宋_GB2312" w:cs="Times New Roman"/>
          <w:color w:val="000000" w:themeColor="text1"/>
          <w:szCs w:val="32"/>
          <w14:textFill>
            <w14:solidFill>
              <w14:schemeClr w14:val="tx1"/>
            </w14:solidFill>
          </w14:textFill>
        </w:rPr>
        <w:t xml:space="preserve">着力创新发展方式，聚集现代农牧业生产要素，加快建设集农牧业生产基地、农畜产品加工、创新创业为一体、一二三产业融合发展的现代农牧业产业园，推动生产要素向园区集中、优势产业向园区集聚、政策资金向园区倾斜，推进农牧业全产业链升级增值。重点打造巴林左旗笤帚苗产业园区、中荷循环农牧业科技合作示范园、内蒙古达丰现代农业产业园等15个特色鲜明、集约集聚、深度融合的农牧业循环经济产业园区。到2025年，争创国家级现代农业产业园1个、自治区级现代农牧业产业园3个以上。 </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强化农牧业科技支撑。</w:t>
      </w:r>
      <w:r>
        <w:rPr>
          <w:rFonts w:hint="eastAsia" w:ascii="Times New Roman" w:hAnsi="Times New Roman" w:eastAsia="仿宋_GB2312" w:cs="Times New Roman"/>
          <w:color w:val="000000" w:themeColor="text1"/>
          <w:szCs w:val="32"/>
          <w:lang w:eastAsia="zh-CN"/>
          <w14:textFill>
            <w14:solidFill>
              <w14:schemeClr w14:val="tx1"/>
            </w14:solidFill>
          </w14:textFill>
        </w:rPr>
        <w:t>加快农牧业全产业链数字化建设，推进农村牧区生产经营精细化、管理服务智能化、农村牧区治理数字化。</w:t>
      </w:r>
      <w:r>
        <w:rPr>
          <w:rFonts w:hint="default" w:ascii="Times New Roman" w:hAnsi="Times New Roman" w:eastAsia="仿宋_GB2312" w:cs="Times New Roman"/>
          <w:color w:val="000000" w:themeColor="text1"/>
          <w:szCs w:val="32"/>
          <w14:textFill>
            <w14:solidFill>
              <w14:schemeClr w14:val="tx1"/>
            </w14:solidFill>
          </w14:textFill>
        </w:rPr>
        <w:t>落实农机购置补贴政策，推广应用现代化集约型专用设施装备，推动植保无人机、智能驾驶农机等新装备在规模种养领域应用，向现代化农机装备和机械作业转型升级。加快农牧业数据平台建设，结合国家耕地地力保护和提升工程项目，推广水肥一体化、测土配方施肥、有机肥替代、绿色防控等农机农艺融合技术。每年实施耕地保护性作业15万亩，每年新增无膜浅埋滴灌5万亩。到2025年，主要农作物实现全程机械化作业，年度保持保护性作业面积45万亩、无膜浅埋滴灌面积30万亩。</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7" w:name="_Toc64916030"/>
      <w:r>
        <w:rPr>
          <w:rFonts w:hint="default" w:ascii="Times New Roman" w:hAnsi="Times New Roman" w:eastAsia="楷体_GB2312" w:cs="Times New Roman"/>
          <w:color w:val="000000" w:themeColor="text1"/>
          <w14:textFill>
            <w14:solidFill>
              <w14:schemeClr w14:val="tx1"/>
            </w14:solidFill>
          </w14:textFill>
        </w:rPr>
        <w:t xml:space="preserve"> 构建现代工业体系</w:t>
      </w:r>
      <w:bookmarkEnd w:id="17"/>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入贯彻落实新发展理念，牢固树立“生态优先、绿色发展”导向，持续推进“工业强旗”战略，以招商引资为突破口，以项目建设为支撑，不断巩固提升工业的主导地位，围绕实施工业“五项工程”，全力打造“四大支柱产业”，强化“补链、延链、强链”，不断壮大有色金属产业；围绕培育经济新增长点，加快发展非金属矿产业；围绕提升质量、集群发展，做优做强绿色农畜产品加工业；围绕优化结构、绿色循环，培育发展高端能源化工产业。积极构建“产业结构优、经济效益好、辐射带动大”的工业经济发展新格局。到2025年末，全旗工业总产值达到200亿元以上，年均增长20%以上，利税实现翻番，再造一个巴林左旗工业。将巴林左旗建设成为蒙东有色金属产业集聚发展核心区、赤峰地区重要的非金属加工基地和特色农畜产品加工基地。</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持续提升有色金属产业。</w:t>
      </w:r>
      <w:r>
        <w:rPr>
          <w:rFonts w:hint="default" w:ascii="Times New Roman" w:hAnsi="Times New Roman" w:eastAsia="仿宋_GB2312" w:cs="Times New Roman"/>
          <w:color w:val="000000" w:themeColor="text1"/>
          <w:szCs w:val="32"/>
          <w14:textFill>
            <w14:solidFill>
              <w14:schemeClr w14:val="tx1"/>
            </w14:solidFill>
          </w14:textFill>
        </w:rPr>
        <w:t>以“整顿秩序、整合资源、探矿增储、挖潜扩能、延长链条”为重点，不断提升有色金属产业层次和发展水平。加快矿产资源整合和矿业秩序整顿工作，推动优势资源向山金红岭、中色矿业、宇邦矿业等优势企业集中，加快山金红岭整合东方富源、收购金峰矿业哈拉白其铅锌矿，吉安化工重组开源矿业等矿区重组工作，有效盘活闲置产能。不断提升资源保障能力，支持探矿企业、采选企业、民间资本加大投入，开展联合探矿、风险探矿。积极争取上级项目资金，对符合条件的地区开展整装勘查。“十四五”期间实施不低于50万延长米的探矿增储工程，发掘后续资源，为有色金属产业的持续快速发展提供资源保障。继续提升采选规模，加快完成宇邦矿业25000吨/日采选扩建、中色矿业5000吨/日采选扩建、开源矿业1000吨/日采选提升等项目建设。全力推进辽溪矿业2000吨/日选厂重组，促进采选能力与下游产业衔接配套。继续提升有色金属冶炼能力，加快下游产业发展，确保赤峰金帆52万吨废旧蓄电池回收综合利用和300KVA铅酸蓄电池生产项目如期投产达效。着力推进中色锌业10万吨/年锌冶炼搬迁、宇邦矿业10万吨/年银多金属冶炼和白银产业园等项目开工建设，加大以铅、锌为原料的合金材料和以金、银为原料的工艺品制造等项目的招商引资工作，实现“探采选冶加”一体化，形成有色冶金产业集群。到2025年，力争有色金属产业实现“55513发展目标，即全旗有色金属矿石储量达到5亿吨，有色金属采选能力突破5万吨/日，冶炼能力达到50万吨/年，实现产值达到150亿元，利税30亿元，建设中国北方银都和蒙东有色金属产业集聚发展的核心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大力发展非金属产业。</w:t>
      </w:r>
      <w:r>
        <w:rPr>
          <w:rFonts w:hint="default" w:ascii="Times New Roman" w:hAnsi="Times New Roman" w:eastAsia="仿宋_GB2312" w:cs="Times New Roman"/>
          <w:color w:val="000000" w:themeColor="text1"/>
          <w:szCs w:val="32"/>
          <w14:textFill>
            <w14:solidFill>
              <w14:schemeClr w14:val="tx1"/>
            </w14:solidFill>
          </w14:textFill>
        </w:rPr>
        <w:t>本着“生态优先</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科学规划</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合理布局”原则，合理开发非金属资源，增加利用品种，推进萤石、石灰石、花岗岩等优势非金属矿产资源深度开发，不断做大总量，推动非金属产业快速发展。石灰石</w:t>
      </w:r>
      <w:r>
        <w:rPr>
          <w:rFonts w:hint="eastAsia" w:ascii="Times New Roman" w:hAnsi="Times New Roman" w:eastAsia="仿宋_GB2312" w:cs="Times New Roman"/>
          <w:color w:val="000000" w:themeColor="text1"/>
          <w:szCs w:val="32"/>
          <w:lang w:eastAsia="zh-CN"/>
          <w14:textFill>
            <w14:solidFill>
              <w14:schemeClr w14:val="tx1"/>
            </w14:solidFill>
          </w14:textFill>
        </w:rPr>
        <w:t>在</w:t>
      </w:r>
      <w:r>
        <w:rPr>
          <w:rFonts w:hint="default" w:ascii="Times New Roman" w:hAnsi="Times New Roman" w:eastAsia="仿宋_GB2312" w:cs="Times New Roman"/>
          <w:color w:val="000000" w:themeColor="text1"/>
          <w:szCs w:val="32"/>
          <w14:textFill>
            <w14:solidFill>
              <w14:schemeClr w14:val="tx1"/>
            </w14:solidFill>
          </w14:textFill>
        </w:rPr>
        <w:t>引导现有企业加大投入、挖潜扩能的基础上，同步引进大公司、大集团，采取新工艺、新技术开发新产品，延长产业链，提高产品附加值，推进产业升级。同时，以高活性氧化钙、氢氧化钙、纳米碳酸钙等系列产品开发为重点，实现资源综合开发利用；加快花岗岩、大理石等优势资源就地转化，实施300万立方米/年花岗岩板材、1000万平方米/年大理石等石材加工项目；推动矿山废石等工业固体废物资源综合利用，发展绿色建材产业，努力实现循环发展。力争到2025年，非金属产业对工业经济的支撑作用进一步增强，产值达到10亿元以上，建设成赤峰地区重要的非金属加工基地。</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做优特色农畜产品加工产业。</w:t>
      </w:r>
      <w:r>
        <w:rPr>
          <w:rFonts w:hint="default" w:ascii="Times New Roman" w:hAnsi="Times New Roman" w:eastAsia="仿宋_GB2312" w:cs="Times New Roman"/>
          <w:color w:val="000000" w:themeColor="text1"/>
          <w:szCs w:val="32"/>
          <w14:textFill>
            <w14:solidFill>
              <w14:schemeClr w14:val="tx1"/>
            </w14:solidFill>
          </w14:textFill>
        </w:rPr>
        <w:t>深化一二三产融合发展，充分挖掘农畜产品资源优势，发挥龙头企业带动作用，发展精深加工，提高产品附加值和品牌影响力，突出抓好笤帚苗、马铃薯、杂粮豆、山杏、中药材、肉奶等特色农畜产品的基地建设，加大科研投入、行业整合和品牌运营力度，推进特色农畜产品向集约化、规模化、标准化、产业化方向发展，重点扶持科然生物、佰惠生糖业、大辽王府、德惠粮贸、天龙食品等产业化龙头企业，加强与科研机构合作，开发科技含量高、经济效益好、带动能力强的产品，提升农畜产品整体加工水平。加快完成德润肉牛、健元鹿业、天泽生物等龙头企业重组，实施好10万头肉牛屠宰加工及系列产品开发、马铃薯深加工、中草药种植加工、山杏深加工、甜菜深加工等项目，形成农畜产品加工集散集群。强力</w:t>
      </w:r>
      <w:r>
        <w:rPr>
          <w:rFonts w:hint="default" w:ascii="Times New Roman" w:hAnsi="Times New Roman" w:eastAsia="仿宋_GB2312" w:cs="Times New Roman"/>
          <w:bCs/>
          <w:color w:val="000000" w:themeColor="text1"/>
          <w:szCs w:val="32"/>
          <w14:textFill>
            <w14:solidFill>
              <w14:schemeClr w14:val="tx1"/>
            </w14:solidFill>
          </w14:textFill>
        </w:rPr>
        <w:t>打造区域公用品牌，积极加入蒙字标、“赤峰+”区域公用品牌序列，提升“契丹牧耕”区域公共品牌知名度，抓好“中国笤帚苗之乡”“林东毛毛谷小米”等区域公用品牌，力争笤帚苗产品进入国家农牧业非物质文化遗产名录。推动新型经营主体加强自主创新、质量管理和市场营销，组织企业加快品牌商标、品牌产品注册认证，促进主要农畜产品优质优价。“十四五”期间，创建自治区级以上品牌商标达到15个以上，培育“三品一标”和“名优特”等品牌产品200个以上。力争到2025年，特色农畜产品加工产业产值达到15亿元以上，打造赤峰地区特色农畜产品标准化生产加工基地。</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培育高端能源化工产业。</w:t>
      </w:r>
      <w:r>
        <w:rPr>
          <w:rFonts w:hint="default" w:ascii="Times New Roman" w:hAnsi="Times New Roman" w:eastAsia="仿宋_GB2312" w:cs="Times New Roman"/>
          <w:color w:val="000000" w:themeColor="text1"/>
          <w:szCs w:val="32"/>
          <w14:textFill>
            <w14:solidFill>
              <w14:schemeClr w14:val="tx1"/>
            </w14:solidFill>
          </w14:textFill>
        </w:rPr>
        <w:t>优化能源开发布局，提高传统能源供给保障能力，实施高端能源化工破题攻关工程，力求在新能源电力和含氟精细化工方面快速取得突破，提高新能源供给能力，促进新能源企业与旗域内用能企业直接交易，降低用能企业生产成本。规划建设1000MW光伏发电、300MW风力发电和2×35MW生物质发电等项目，推动可再生资源高效利用。化工产业树立循环经济发展理念，以氟化工及含氟精细化工为重点，其他小型原料化工为补充，整合和优化配置各类资源，形成绿色化、精细化、循环化的产业集群。加快推进鹏峰化工10万吨/年无水氟化氢及高端含氟材料联产项目，确保如期达产，开工建设含氟聚合物、含氟精细化工等项目，培育氟化工产业集群。力争到2025年，能源化工产业产值达到25亿元，打造赤峰地区重要的能源化工基地。</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推进园区提档升级。</w:t>
      </w:r>
      <w:r>
        <w:rPr>
          <w:rFonts w:hint="default" w:ascii="Times New Roman" w:hAnsi="Times New Roman" w:eastAsia="仿宋_GB2312" w:cs="Times New Roman"/>
          <w:color w:val="000000" w:themeColor="text1"/>
          <w:szCs w:val="32"/>
          <w14:textFill>
            <w14:solidFill>
              <w14:schemeClr w14:val="tx1"/>
            </w14:solidFill>
          </w14:textFill>
        </w:rPr>
        <w:t>明确园区发展定位，积极推进园区整合和产业统筹，精准定位产业发展重点。凤凰山工业园区在现有有色金属冶炼的基础上，重点发展与之配套的有色金属深加工产业，构建上下游紧密结合的产业链，推进氟化工产业集聚步伐，形成氟化工原料及产品等上下游产业的集聚区，着力打造以有色金属冶炼和高端氟化物产业为主的特色经济园区。上京工业园区依托丰富的农畜产品资源，以有机绿色深加工产业为重点，以保健品、营养食品等产品研发生产为主攻方向，打造成为以特色农畜产品深加工为主的绿色生态型工业园区。进一步完善工业园区供热、供水、供电、道路、网络、综合服务平台等配套设施，提升园区发展档次。开工建设凤凰山园区20万平方米标准化厂房项目，加快实施园区自来水厂、集中供热设施及供热管网、沙那水库向园区供水工程，适时启动巴林左旗工业园区一般固废渣场、上京集聚区环路等项目建设，进一步提升工业园区公共服务设施和服务水平，提高工业园区承载能力，为建设高质量园区奠定基础。以建设绿色、环保、可持续发展工业园区为目标，实施园区循环改造推进计划，打通园区企业间的产业链，实现园区上下游循环发展，企业资源循环利用，提高资源综合利用率，增加园区单位面积投入强度和产业效率。“十四五”期间，将巴林左旗工业园区建设成为自治区级工业园区和循环产业园区。</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8" w:name="_Toc64916031"/>
      <w:r>
        <w:rPr>
          <w:rFonts w:hint="default" w:ascii="Times New Roman" w:hAnsi="Times New Roman" w:eastAsia="楷体_GB2312" w:cs="Times New Roman"/>
          <w:color w:val="000000" w:themeColor="text1"/>
          <w14:textFill>
            <w14:solidFill>
              <w14:schemeClr w14:val="tx1"/>
            </w14:solidFill>
          </w14:textFill>
        </w:rPr>
        <w:t xml:space="preserve"> 壮大现代服务业</w:t>
      </w:r>
      <w:bookmarkEnd w:id="1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以新型工业化、信息化、城镇化、农牧业现代化为依托，坚持生产性服务业与生活性服务业并重，扩大服务业供给规模，满足产业转型升级需求，引导企业向价值链高端延伸。改造升级传统商贸服务业，大力发展现代物流业，做大做强文化旅游业，高度重视健康养老，不断创新金融服务，加快发展新型业态，拓展服务领域，丰富产品供给，统筹城乡，</w:t>
      </w:r>
      <w:r>
        <w:rPr>
          <w:rFonts w:hint="default" w:ascii="Times New Roman" w:hAnsi="Times New Roman" w:eastAsia="仿宋_GB2312" w:cs="Times New Roman"/>
          <w:color w:val="000000" w:themeColor="text1"/>
          <w:spacing w:val="12"/>
          <w14:textFill>
            <w14:solidFill>
              <w14:schemeClr w14:val="tx1"/>
            </w14:solidFill>
          </w14:textFill>
        </w:rPr>
        <w:t>扩张总量，增加就业，推进服务业快速发展，</w:t>
      </w:r>
      <w:r>
        <w:rPr>
          <w:rFonts w:hint="default" w:ascii="Times New Roman" w:hAnsi="Times New Roman" w:eastAsia="仿宋_GB2312" w:cs="Times New Roman"/>
          <w:color w:val="000000" w:themeColor="text1"/>
          <w:szCs w:val="32"/>
          <w14:textFill>
            <w14:solidFill>
              <w14:schemeClr w14:val="tx1"/>
            </w14:solidFill>
          </w14:textFill>
        </w:rPr>
        <w:t>着力建设服务业重大项目，培育壮大服务业重点企业，促进服务业业态升级、品质提升、空间集聚，全力创建国家全域旅游示范区、国家文物保护利用示范区和国家级文化产业示范园区。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1</w:t>
      </w:r>
      <w:r>
        <w:rPr>
          <w:rFonts w:hint="eastAsia" w:ascii="Times New Roman" w:hAnsi="Times New Roman" w:eastAsia="仿宋_GB2312" w:cs="Times New Roman"/>
          <w:b/>
          <w:color w:val="000000" w:themeColor="text1"/>
          <w:szCs w:val="32"/>
          <w:lang w:eastAsia="zh-CN"/>
          <w14:textFill>
            <w14:solidFill>
              <w14:schemeClr w14:val="tx1"/>
            </w14:solidFill>
          </w14:textFill>
        </w:rPr>
        <w:t>.</w:t>
      </w:r>
      <w:r>
        <w:rPr>
          <w:rFonts w:hint="default" w:ascii="Times New Roman" w:hAnsi="Times New Roman" w:eastAsia="仿宋_GB2312" w:cs="Times New Roman"/>
          <w:b/>
          <w:color w:val="000000" w:themeColor="text1"/>
          <w:szCs w:val="32"/>
          <w14:textFill>
            <w14:solidFill>
              <w14:schemeClr w14:val="tx1"/>
            </w14:solidFill>
          </w14:textFill>
        </w:rPr>
        <w:t>大力发展文化旅游业。</w:t>
      </w:r>
      <w:r>
        <w:rPr>
          <w:rFonts w:hint="default" w:ascii="Times New Roman" w:hAnsi="Times New Roman" w:eastAsia="仿宋_GB2312" w:cs="Times New Roman"/>
          <w:color w:val="000000" w:themeColor="text1"/>
          <w:szCs w:val="32"/>
          <w14:textFill>
            <w14:solidFill>
              <w14:schemeClr w14:val="tx1"/>
            </w14:solidFill>
          </w14:textFill>
        </w:rPr>
        <w:t>抢抓国内消费结构升级和国内旅游产业加快发展新机遇，聚焦打造“契丹辽文化体验游王牌”和“契丹辽文化国际旅游目的地”战略目标，着力打造“1+1+N”文化旅游产业发展模式，充分整合、挖掘境内文化旅游资源，不断提升“辽文化品位”“左旗品味”，构建业态丰富、特色鲜明、设施完善、服务优良的现代文化旅游产业体系，努力形成区域资源整合、产业融合发展、社会共建共享的全域旅游发展格局。到2025年，力争年接待游客达到</w:t>
      </w:r>
      <w:r>
        <w:rPr>
          <w:rFonts w:hint="eastAsia" w:ascii="Times New Roman" w:hAnsi="Times New Roman" w:eastAsia="仿宋_GB2312" w:cs="Times New Roman"/>
          <w:color w:val="000000" w:themeColor="text1"/>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Cs w:val="32"/>
          <w14:textFill>
            <w14:solidFill>
              <w14:schemeClr w14:val="tx1"/>
            </w14:solidFill>
          </w14:textFill>
        </w:rPr>
        <w:t>00万人次，旅游综合收入突破100亿元。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高品位打造王牌景区。立足旗域旅游发展格局，在构建南部契丹辽文化特色游、中部美丽乡村度假游、北部自然风光体验游3大板块远期规划的基础上，持续加大全旗旅游资源整合重塑力度，以辽上京国家考古遗址公园、辽祖陵祖州国家考古遗址公园和七锅山国家地质公园景区为核心，全力推动契丹辽文化体验游王牌景区精品线，整体创建为国家5A级景区，提升左旗文旅品牌吸引力和影响力，并以此为契机，带动乡村度假游发展，形成以红格尔田园综合体、宏伟山庄、树莓文旅小镇、契丹田园综合体等为主体的美丽乡村休闲游周末度假圈。“十四五”期间，在全旗范围内打造5A级景区1个、4A级景区2个，增加3A级景区2个、2A级景区3个，创建自治区星级乡村（牧区）旅游接待户10家，持续推动文旅产业实现跨越式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高层次建设文旅产业。着力打造示范园区，以辽文化产业园区为创建主体，通过不断完善配套服务设施、提高公共服务水平等方式，吸引更多企业入驻园区。不断培育龙头文旅企业，实现文化产业示范园区入驻的文化企业和文化产业收入比重两个硬性指标都要达到60%以上。着力发挥平台优势，深化校地合作，充分借助契丹辽文化产业化研究中心和中国契丹文字研究中心两个综合性平台，积极承办各类国内国际学术研讨会议。着力培育核心产业，全力举办好中国契丹辽文化节、辽上京冰雪文化旅游节和召庙庙会等重大品牌活动，在既有《契丹王朝》剧目演艺的基础上，创作一批以契丹辽文化为主题的剧目、歌曲等文艺创作项目。同时，充分利用各类媒体手段和招商引资机会，大力开拓国内客源市场及日、韩、俄、蒙等周边国家客源市场，不断提升巴林左旗文旅产业知名度和影响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高标准完善服务能力。围绕“吃、住、行、游、购、娱”旅游六要素，进一步完善住宿、餐饮、娱乐、厕所等配套服务设施，深入建设全域旅游大数据中心等智慧旅游项目，增强文旅产业配套服务能力。“十四五”期间，全旗建设星级酒店8个、床位达1.5万张，实现重点景区景点旅游配套服务设施健全完善。围绕旅游产品开发，通过引入国内外契丹辽文化专家和文化企业，培育壮大辽俗器韵等本地文旅企业的方式，在成果转化、研发创意、展示服务、人才培育等方面取得跨越式突破，形成特色丰富的文旅产品体系。</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高质量融入大旅游格局。在全面打造景区景点的同时，织密旗内景区景点和服务网络，大力构建境内特色旅游线路，实现各景区景点间成线、成网，互相带动。将巴林左旗旅游资源与周边旗县、盟市、省市旅游资源有机结合，高质量融入大旅游格局，与旗域周边旅游资源共同打造跨区域精品旅游线路，在有序竞争的过程中，借力发展，将巴林左旗的旅游资源打造成为全区、全市全域旅游的重要一环、最具特色的一环、不可或缺的一环，实现从路过到停一停、看一看，再到深度体验的转变，实现从过境旅游到旅游目的地的转变。</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2</w:t>
      </w:r>
      <w:r>
        <w:rPr>
          <w:rFonts w:hint="eastAsia" w:ascii="Times New Roman" w:hAnsi="Times New Roman" w:eastAsia="仿宋_GB2312" w:cs="Times New Roman"/>
          <w:b/>
          <w:color w:val="000000" w:themeColor="text1"/>
          <w:szCs w:val="32"/>
          <w:lang w:eastAsia="zh-CN"/>
          <w14:textFill>
            <w14:solidFill>
              <w14:schemeClr w14:val="tx1"/>
            </w14:solidFill>
          </w14:textFill>
        </w:rPr>
        <w:t>.</w:t>
      </w:r>
      <w:r>
        <w:rPr>
          <w:rFonts w:hint="default" w:ascii="Times New Roman" w:hAnsi="Times New Roman" w:eastAsia="仿宋_GB2312" w:cs="Times New Roman"/>
          <w:b/>
          <w:color w:val="000000" w:themeColor="text1"/>
          <w:szCs w:val="32"/>
          <w14:textFill>
            <w14:solidFill>
              <w14:schemeClr w14:val="tx1"/>
            </w14:solidFill>
          </w14:textFill>
        </w:rPr>
        <w:t>加快发展现代物流业。</w:t>
      </w:r>
      <w:r>
        <w:rPr>
          <w:rFonts w:hint="default" w:ascii="Times New Roman" w:hAnsi="Times New Roman" w:eastAsia="仿宋_GB2312" w:cs="Times New Roman"/>
          <w:bCs/>
          <w:color w:val="000000" w:themeColor="text1"/>
          <w:szCs w:val="32"/>
          <w14:textFill>
            <w14:solidFill>
              <w14:schemeClr w14:val="tx1"/>
            </w14:solidFill>
          </w14:textFill>
        </w:rPr>
        <w:t>充分利用信息化手段，</w:t>
      </w:r>
      <w:r>
        <w:rPr>
          <w:rFonts w:hint="default" w:ascii="Times New Roman" w:hAnsi="Times New Roman" w:eastAsia="仿宋_GB2312" w:cs="Times New Roman"/>
          <w:color w:val="000000" w:themeColor="text1"/>
          <w:szCs w:val="32"/>
          <w14:textFill>
            <w14:solidFill>
              <w14:schemeClr w14:val="tx1"/>
            </w14:solidFill>
          </w14:textFill>
        </w:rPr>
        <w:t>着力建设区域性集散市场，形成集商品交易、数据分析、生产加工、物流配送于一体的综合服务平台，不断整合延伸产业链条，提升新兴产业对经济发展的支撑作用，实现集群发展，打造现代物流体系。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快商贸流通业现代化发展。加快发展电子商务，鼓励传统商贸流通企业与电子商务服务企业合作，支持鑫洋手工等商贸流通企业以实体店铺为依托，建立或依托全国供销e家电子商务等平台拓展业务。支持科然生物等农畜产品加工企业、其他制造企业大力开展电子商务，降低原材料下行成本，提高产品上行数量、价格，形成“实体经济+电子商务+现代物流”的发展模式，推动网络零售业快速健康发展。到2025年，培育并形成初具规模的电子商务企业3家，争取实现跨境电子商务。大力发展连锁经营。鼓励旗外大型商贸流通企业在巴林左旗设立区域分部、采购配送中心和连锁店铺，支持健元鹿业等企业发挥经营管理优势，大力发展专业连锁门店，跨区域拓展连锁经营网络。引导连锁经营服务方式创新，推进林东商厦等传统百货店向大型综合超市、购物中心、专卖店等业态转型，以消费需求升级引领供给侧结构调整，“十四五”期间，实现社会消费品零售总额年均增长15%。</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完善农产品流通体系。以做大做强巴林左旗县域公共品牌为目标，探索境内相关产业生态化、标准化、品牌化、电商化发展的特色品牌模式，将生态优势转化为产业优势。构建高效畅通的农产品现代流通体系，在碧流台镇大良沟果蔬产区、林东镇蔬菜基地、隆昌镇畜牧产区建设农产品产地集配中心，在林东新城区规划建设1-2个大型农产品批发市场和生鲜、粮油物流配送中心。积极推进农批对接、农超对接、农校对接等多种产销衔接模式，构建上联生产基地、下接零售终端的农产品产销一体化流通链条。继续把加快推进电子商务进农村作为重点工作，不断完善基层服务网点功能，加快农村商贸服务业升级，依托“电子商务进农村”信息化终端平台建设，培育农村电子商务市场，到2025年，基本实现全旗嘎查村电子商务公共服务全覆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积极发展现代物流业。科学统筹规划，编制完成《物流产业发展规划》和《城市物流用地规划》，进一步明确物流业发展的方向、目标、战略重点、主要任务及推进计划。上京物流园区主动对接赤峰市建设商贸服务型国家物流枢纽城市和中国北方重要的绿色农畜产品输出基地的发展定位，不断提升物流集散功能，加快建设通道沿线农畜产品现代冷链物流集散集群。大力招商入园。着眼专业镇、专业村产业转移，吸引更多符合环保要求的小加工企业进驻上京物流园区，下大力气盘活现有商业业态和资产。打造物流集聚区。加快推进集聚区增量提效，实施内蒙古上京物流园区基础设施建设项目、物流园区铁路南侧综合开发项目，逐步引导农牧业生产资料、食品加工、汽修汽配和物流配送等企业“退城入园”，加快建设远艺家居精品园、内蒙古瑞乾节水设备、达海物流陶瓷运输专线、鑫达种业一体化等项目，逐步形成产业集聚、要素集约效应，把现代物流业打造成为新的增长极。</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3</w:t>
      </w:r>
      <w:r>
        <w:rPr>
          <w:rFonts w:hint="eastAsia" w:ascii="Times New Roman" w:hAnsi="Times New Roman" w:eastAsia="仿宋_GB2312" w:cs="Times New Roman"/>
          <w:b/>
          <w:color w:val="000000" w:themeColor="text1"/>
          <w:szCs w:val="32"/>
          <w:lang w:eastAsia="zh-CN"/>
          <w14:textFill>
            <w14:solidFill>
              <w14:schemeClr w14:val="tx1"/>
            </w14:solidFill>
          </w14:textFill>
        </w:rPr>
        <w:t>.</w:t>
      </w:r>
      <w:r>
        <w:rPr>
          <w:rFonts w:hint="default" w:ascii="Times New Roman" w:hAnsi="Times New Roman" w:eastAsia="仿宋_GB2312" w:cs="Times New Roman"/>
          <w:b/>
          <w:color w:val="000000" w:themeColor="text1"/>
          <w:szCs w:val="32"/>
          <w14:textFill>
            <w14:solidFill>
              <w14:schemeClr w14:val="tx1"/>
            </w14:solidFill>
          </w14:textFill>
        </w:rPr>
        <w:t>转型发展传统商贸业。</w:t>
      </w:r>
      <w:r>
        <w:rPr>
          <w:rFonts w:hint="default" w:ascii="Times New Roman" w:hAnsi="Times New Roman" w:eastAsia="仿宋_GB2312" w:cs="Times New Roman"/>
          <w:color w:val="000000" w:themeColor="text1"/>
          <w:szCs w:val="32"/>
          <w14:textFill>
            <w14:solidFill>
              <w14:schemeClr w14:val="tx1"/>
            </w14:solidFill>
          </w14:textFill>
        </w:rPr>
        <w:t>优化商贸流通业空间布局。把握林东城区中心商圈建设、激活夜间经济、做活社区商业三大方向，加快现有商业街区提档改造，培育一批多功能、多业态商业街区，打造一批特色夜间经济街区和集聚区，突出抓好林东城区核心商圈和周边辐射商圈建设，发展一批具有地方特色商业圈。实施“社区商业示范工程”，加快建设规范化社区商业网点，培育临潢路社区1个市级商业示范社区、家家乐连锁超市1个示范社区超市，建设昊辰商厦等2-3个示范社区商业网点。促进外贸领域不断发展。加快优化外贸结构，鼓励企业自主创新，加大关键设备和核心技术引进，加强对引进技术设备的消化吸收与再创新，扩大鑫洋手工和丰华笤帚制品公司精品笤帚、大辽王府杂粮、东信公司羊绒制品等出口份额，提升特色产业领域在国际市场中的核心竞争力。加快“走出去”步伐。建立健全“走出去”政策支撑体系，鼓励和支持鑫洋手工、大辽王府等产业优势企业到海外发展，着力提高巴林左旗优势产业国际竞争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4</w:t>
      </w:r>
      <w:r>
        <w:rPr>
          <w:rFonts w:hint="eastAsia" w:ascii="Times New Roman" w:hAnsi="Times New Roman" w:eastAsia="仿宋_GB2312" w:cs="Times New Roman"/>
          <w:b/>
          <w:color w:val="000000" w:themeColor="text1"/>
          <w:szCs w:val="32"/>
          <w:lang w:eastAsia="zh-CN"/>
          <w14:textFill>
            <w14:solidFill>
              <w14:schemeClr w14:val="tx1"/>
            </w14:solidFill>
          </w14:textFill>
        </w:rPr>
        <w:t>.</w:t>
      </w:r>
      <w:r>
        <w:rPr>
          <w:rFonts w:hint="default" w:ascii="Times New Roman" w:hAnsi="Times New Roman" w:eastAsia="仿宋_GB2312" w:cs="Times New Roman"/>
          <w:b/>
          <w:color w:val="000000" w:themeColor="text1"/>
          <w:szCs w:val="32"/>
          <w14:textFill>
            <w14:solidFill>
              <w14:schemeClr w14:val="tx1"/>
            </w14:solidFill>
          </w14:textFill>
        </w:rPr>
        <w:t>不断发展居民生活性服务业。</w:t>
      </w:r>
      <w:r>
        <w:rPr>
          <w:rFonts w:hint="default" w:ascii="Times New Roman" w:hAnsi="Times New Roman" w:eastAsia="仿宋_GB2312" w:cs="Times New Roman"/>
          <w:color w:val="000000" w:themeColor="text1"/>
          <w:szCs w:val="32"/>
          <w14:textFill>
            <w14:solidFill>
              <w14:schemeClr w14:val="tx1"/>
            </w14:solidFill>
          </w14:textFill>
        </w:rPr>
        <w:t>扶持发展医养结合健康产业。支持社会力量举办非盈利性医疗机构，引导国内外医疗机构、企业和其他经济组织与旗内医疗机构、企业和其他经济组织以合资或合作形式在我旗设置医疗机构，特别是康复医院、老年病医院、临终关怀医院等相对短缺的医疗机构。开展政府购买社会医疗服务行动，鼓励非公立医疗机构提供基本医疗服务，鼓励发展专业性医院管理集团，引导非公医疗机构向高水平、规模化方向发展。积极开发天然氧吧、温泉保健、中药蒙药药浴等养生保健和运动休闲等旅游产品，打造健康养生旅游基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快发展家庭服务业。在全旗建设完善家政服务网络，建立健全家政服务业标准体系，做大做强利洁物业等企业，引导利洁物业开展连锁经营和特许加盟。多方式提供家政、美容美发、电器维修等服务，规范房地产中介、物业管理、家用车辆维修保养等服务，提高居民便利化水平。深度开发群众从衣食住行到身心健康，从出生到终老各个阶段各个环节的生活性服务。积极发展健康服务、母婴护理、病人陪护、家居保洁、物业管理等服务业态，建立完善统一规范的服务质量标准，提升全行业规范化水平。鼓励发展餐饮业，优化餐饮业发展结构，培育朱家餐厅等餐饮连锁示范企业，形成以大众化餐饮为主体、各种餐饮业态均衡发展的格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lang w:val="en-US" w:bidi="ar-SA"/>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bidi="ar-SA"/>
          <w14:textFill>
            <w14:solidFill>
              <w14:schemeClr w14:val="tx1"/>
            </w14:solidFill>
          </w14:textFill>
        </w:rPr>
        <w:t>5.</w:t>
      </w:r>
      <w:r>
        <w:rPr>
          <w:rFonts w:hint="default" w:ascii="Times New Roman" w:hAnsi="Times New Roman" w:eastAsia="仿宋_GB2312" w:cs="Times New Roman"/>
          <w:b/>
          <w:color w:val="000000" w:themeColor="text1"/>
          <w:sz w:val="32"/>
          <w:szCs w:val="32"/>
          <w:lang w:val="en-US" w:bidi="ar-SA"/>
          <w14:textFill>
            <w14:solidFill>
              <w14:schemeClr w14:val="tx1"/>
            </w14:solidFill>
          </w14:textFill>
        </w:rPr>
        <w:t>创新发展金融业。</w:t>
      </w:r>
      <w:r>
        <w:rPr>
          <w:rFonts w:hint="default" w:ascii="Times New Roman" w:hAnsi="Times New Roman" w:eastAsia="仿宋_GB2312" w:cs="Times New Roman"/>
          <w:color w:val="000000" w:themeColor="text1"/>
          <w:sz w:val="32"/>
          <w:szCs w:val="32"/>
          <w:lang w:val="en-US" w:bidi="ar-SA"/>
          <w14:textFill>
            <w14:solidFill>
              <w14:schemeClr w14:val="tx1"/>
            </w14:solidFill>
          </w14:textFill>
        </w:rPr>
        <w:t>加快建设“开放型金融、创新型金融、市场型金融、生态型金融”，鼓励金融机构创新产品、优质服务，加大支持地方经济社会发展力度。积极引进外埠商业银行在我旗设立机构，形成国有银行和地方金融机构相互补充、多元化的金融服务格局。稳妥发展小额贷款公司、融资担保公司、消费信贷公司、典当行等民间借贷组织，建设多层次金融市场体系。加快推动普惠金融发展，改善农村牧区金融支付环境，探索发展农村牧区土地和草场承包经营权、林权抵押贷款、大型农机具抵押贷款等业务，缓解农牧民融资难题。完善“政金企”合作模式，实施金融工作联席会议制度，加强“政金企”之间的信息沟通，推动金融与产业的结合，指导金融机构加强对工业、高新技术产业、现代服务业的支持力度，创造有效信贷需求。全面落实支持中小企业发展的金融政策，扩大对小企业的贷款规模和比重。搭建中小企业投融资服务平台，鼓励中小企业进入创业板市场，通过发行债券、股权融资等进行直接融资，拓宽中小企业融资渠道。“十四五”期间，争取培育上市企业（公司）1-2户，积极推进企业在新三板挂牌交易，进一步提高融资能力。</w:t>
      </w:r>
    </w:p>
    <w:p>
      <w:pPr>
        <w:numPr>
          <w:ilvl w:val="0"/>
          <w:numId w:val="0"/>
        </w:numPr>
        <w:rPr>
          <w:rFonts w:hint="default" w:ascii="Times New Roman" w:hAnsi="Times New Roman" w:cs="Times New Roman"/>
          <w:color w:val="000000" w:themeColor="text1"/>
          <w14:textFill>
            <w14:solidFill>
              <w14:schemeClr w14:val="tx1"/>
            </w14:solidFill>
          </w14:textFill>
        </w:rPr>
      </w:pPr>
    </w:p>
    <w:p>
      <w:pPr>
        <w:pStyle w:val="5"/>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19" w:name="_Toc64916032"/>
      <w:r>
        <w:rPr>
          <w:rFonts w:hint="default" w:ascii="Times New Roman" w:hAnsi="Times New Roman" w:eastAsia="楷体_GB2312" w:cs="Times New Roman"/>
          <w:color w:val="000000" w:themeColor="text1"/>
          <w14:textFill>
            <w14:solidFill>
              <w14:schemeClr w14:val="tx1"/>
            </w14:solidFill>
          </w14:textFill>
        </w:rPr>
        <w:t xml:space="preserve"> 增强创新驱动支撑作用</w:t>
      </w:r>
      <w:bookmarkEnd w:id="19"/>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坚持创新在现代化建设全局中的核心地位，力促主导产业关键领域实现突破，把科技创新作为走生态优先、绿色发展为导向的高质量发展新路子的战略支撑。</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特色产业技术创新实现突破。</w:t>
      </w:r>
      <w:r>
        <w:rPr>
          <w:rFonts w:hint="default" w:ascii="Times New Roman" w:hAnsi="Times New Roman" w:eastAsia="仿宋_GB2312" w:cs="Times New Roman"/>
          <w:color w:val="000000" w:themeColor="text1"/>
          <w:szCs w:val="32"/>
          <w14:textFill>
            <w14:solidFill>
              <w14:schemeClr w14:val="tx1"/>
            </w14:solidFill>
          </w14:textFill>
        </w:rPr>
        <w:t>聚焦有色金属冶炼及精深加工、氟化工、肉牛、肉驴养殖繁育、笤帚苗提纯扶壮及精深加工等领域，布局、引进一批先进技术，提高产品科技含量，加强创业孵化基地培育，统筹创新平台载体建设。支持企业和区内外高校、科研院所共建实验室、技术创新中心、工程研究中心、制造业创新中心等创新平台，构建科技兴企等公共创新平台。与知名高校、重点科研院所加强科技合作，通过联合攻关、成果转化、平台建设、人才培养等方式，实现关键技术攻关突破。“十四五”期间，力争完成应用开发30项，引进高新技术成果50项，转化使用科技成果150项。建设高技术、高标准、高效益的科技示范基地10个，建成自治区级创新平台1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培育支持创新型企业发展。</w:t>
      </w:r>
      <w:r>
        <w:rPr>
          <w:rFonts w:hint="default" w:ascii="Times New Roman" w:hAnsi="Times New Roman" w:eastAsia="仿宋_GB2312" w:cs="Times New Roman"/>
          <w:color w:val="000000" w:themeColor="text1"/>
          <w:szCs w:val="32"/>
          <w14:textFill>
            <w14:solidFill>
              <w14:schemeClr w14:val="tx1"/>
            </w14:solidFill>
          </w14:textFill>
        </w:rPr>
        <w:t>突出企业创新主体地位，引导企业加大研发投入。聚焦产业升级需求主攻关键核心技术，支持龙头企业联合科研院所、高等院校力量，建设高水平研发机构或创新联合体。着力培育科技型企业，支持中小企业加大单项技术原创性开发力度，向专精特新方向发展，“十四五”期间积极培育有较强竞争力的高新技术企业10家，规模以上企业的高新技术产品增加值占工业增加值的比例达到30%。推动科技</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同经济</w:t>
      </w:r>
      <w:r>
        <w:rPr>
          <w:rFonts w:hint="default" w:ascii="Times New Roman" w:hAnsi="Times New Roman" w:eastAsia="仿宋_GB2312" w:cs="Times New Roman"/>
          <w:color w:val="000000" w:themeColor="text1"/>
          <w:szCs w:val="32"/>
          <w14:textFill>
            <w14:solidFill>
              <w14:schemeClr w14:val="tx1"/>
            </w14:solidFill>
          </w14:textFill>
        </w:rPr>
        <w:t>深度融合，鼓励金融机构创新金融产品，优化信贷流程，加大对科技型企业的信贷投放，鼓励企业牵头申报、承担科技计划项目。</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b/>
          <w:color w:val="000000" w:themeColor="text1"/>
          <w:szCs w:val="32"/>
          <w14:textFill>
            <w14:solidFill>
              <w14:schemeClr w14:val="tx1"/>
            </w14:solidFill>
          </w14:textFill>
        </w:rPr>
        <w:t>加强科技人才队伍建设。</w:t>
      </w:r>
      <w:r>
        <w:rPr>
          <w:rFonts w:hint="default" w:ascii="Times New Roman" w:hAnsi="Times New Roman" w:eastAsia="仿宋_GB2312" w:cs="Times New Roman"/>
          <w:color w:val="000000" w:themeColor="text1"/>
          <w:szCs w:val="32"/>
          <w14:textFill>
            <w14:solidFill>
              <w14:schemeClr w14:val="tx1"/>
            </w14:solidFill>
          </w14:textFill>
        </w:rPr>
        <w:t>依托自治区“草原英才”工程、赤峰“玉龙人才”工程及“天南地北赤峰人返乡创业行动”计划，培养、引进、用好高层次创新人才、青年科技人才、实用技术人才，大力培育 “乡土人才”，把引进重大项目、技术、资本与引进和培育人才智力紧密结合起来。积极落实“科技兴蒙”行动的政策措施，提高科研人员转化收益比例，激发全旗创新创造的动力和活力。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20" w:name="_Toc64916033"/>
      <w:r>
        <w:rPr>
          <w:rFonts w:hint="default" w:ascii="Times New Roman" w:hAnsi="Times New Roman" w:eastAsia="黑体" w:cs="Times New Roman"/>
          <w:color w:val="000000" w:themeColor="text1"/>
          <w14:textFill>
            <w14:solidFill>
              <w14:schemeClr w14:val="tx1"/>
            </w14:solidFill>
          </w14:textFill>
        </w:rPr>
        <w:t xml:space="preserve"> 着力推进新型城镇化建设 有效提升县城承载能力</w:t>
      </w:r>
      <w:bookmarkEnd w:id="20"/>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坚定不移推进以人为核心的新型城镇化建设，继续优化城市空间布局，在以产促城、以城兴产上用力突破，加快推动产城融合发展，切实提升城乡基础保障和服务水平，着力增强城市承载能力，积极促进区域协调发展，加快形成中心带动、多点互动的新型城镇化发展格局。</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21" w:name="_Toc64916034"/>
      <w:r>
        <w:rPr>
          <w:rFonts w:hint="default" w:ascii="Times New Roman" w:hAnsi="Times New Roman" w:eastAsia="楷体_GB2312" w:cs="Times New Roman"/>
          <w:color w:val="000000" w:themeColor="text1"/>
          <w14:textFill>
            <w14:solidFill>
              <w14:schemeClr w14:val="tx1"/>
            </w14:solidFill>
          </w14:textFill>
        </w:rPr>
        <w:t xml:space="preserve"> 构建新型城镇体系</w:t>
      </w:r>
      <w:bookmarkEnd w:id="21"/>
    </w:p>
    <w:p>
      <w:pPr>
        <w:numPr>
          <w:ilvl w:val="0"/>
          <w:numId w:val="0"/>
        </w:numPr>
        <w:rPr>
          <w:rFonts w:hint="default" w:ascii="Times New Roman" w:hAnsi="Times New Roman" w:cs="Times New Roman"/>
          <w:color w:val="000000" w:themeColor="text1"/>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围绕“发展新城、改造旧城、统筹兼顾、完善功能、适度建设、量力而行”的思路，加快林东城区建设，编制完成</w:t>
      </w:r>
      <w:r>
        <w:rPr>
          <w:rFonts w:hint="default" w:ascii="Times New Roman" w:hAnsi="Times New Roman" w:eastAsia="仿宋_GB2312" w:cs="Times New Roman"/>
          <w:color w:val="000000" w:themeColor="text1"/>
          <w:sz w:val="32"/>
          <w:szCs w:val="32"/>
          <w:lang w:val="en-US" w:bidi="ar-SA"/>
          <w14:textFill>
            <w14:solidFill>
              <w14:schemeClr w14:val="tx1"/>
            </w14:solidFill>
          </w14:textFill>
        </w:rPr>
        <w:t>全旗城乡一体化发展总体规划，整合资源、系统推进</w:t>
      </w:r>
      <w:r>
        <w:rPr>
          <w:rFonts w:hint="default" w:ascii="Times New Roman" w:hAnsi="Times New Roman" w:eastAsia="仿宋_GB2312" w:cs="Times New Roman"/>
          <w:color w:val="000000" w:themeColor="text1"/>
          <w:sz w:val="32"/>
          <w:szCs w:val="32"/>
          <w14:textFill>
            <w14:solidFill>
              <w14:schemeClr w14:val="tx1"/>
            </w14:solidFill>
          </w14:textFill>
        </w:rPr>
        <w:t>小城镇体系建设。林东城区建设方面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继续推进棚户区、老旧小区改造和城市道路建设，适度开发商品房，打造城市水系，增加城区绿化面积，提高城区市容市貌标准，提升城区管理和服务水平。大力推进农村牧区转移人口市民化，不断提升城镇化率，到2025年，林东城区人口达到18万人。加快小城镇建设，科学调整苏木乡镇区划，</w:t>
      </w:r>
      <w:r>
        <w:rPr>
          <w:rFonts w:hint="default" w:ascii="Times New Roman" w:hAnsi="Times New Roman" w:eastAsia="仿宋_GB2312" w:cs="Times New Roman"/>
          <w:color w:val="000000" w:themeColor="text1"/>
          <w:sz w:val="32"/>
          <w:szCs w:val="32"/>
          <w:lang w:val="en-US" w:bidi="ar-SA"/>
          <w14:textFill>
            <w14:solidFill>
              <w14:schemeClr w14:val="tx1"/>
            </w14:solidFill>
          </w14:textFill>
        </w:rPr>
        <w:t>以碧流台镇、隆昌镇两个次级中心城镇为试点，加快基础设施和公共服务设施建设，完善城镇服务功能，发挥好示范引领作用，其它苏木乡镇依据政府所在地的发展基础、资源优势和区位条件，科学确定主导产业，加大扶持和引导力度，逐步建立和完善产业支撑体系，吸纳人口集聚，加快小城镇建设步伐，逐步形成具有一定区域竞争力和发展特色、职能分工明确、基础设施完善、空间结构优化、生态环境良好的小城镇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2" w:name="_Toc64916035"/>
      <w:r>
        <w:rPr>
          <w:rFonts w:hint="default" w:ascii="Times New Roman" w:hAnsi="Times New Roman" w:eastAsia="楷体_GB2312" w:cs="Times New Roman"/>
          <w:color w:val="000000" w:themeColor="text1"/>
          <w14:textFill>
            <w14:solidFill>
              <w14:schemeClr w14:val="tx1"/>
            </w14:solidFill>
          </w14:textFill>
        </w:rPr>
        <w:t xml:space="preserve"> 完善基础设施配套建设</w:t>
      </w:r>
      <w:bookmarkEnd w:id="22"/>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不断优化林东城区建设布局，高水平打造城区核心商圈，加快人口、生产要素重点向中心城区配置。更新改造老城区，完成58个小区、99栋楼房基础设施提升工程，实施雨污分流、中水回用等综合管网工程，修复破损路面及市政设施，持续改善旧城环境。完善城区路网建设，打通城区原有断头路，完成富河路、迎宾路、京北生态区路网、林东西外环、上京商贸广场道路、沙里街东段、振兴大街北出口、振兴大街西段、福山北路等14条道路工程，打造城区4个出口，畅通交通网络，方便居民出行。规范生活垃圾、餐厨垃圾、建筑垃圾处理，加快物业整合升级。到2025年，公共供水普及率、水质综合合格率、生活污水处理率、居民生活垃圾无害化处理率均达到100%，住宅小区物业覆盖率达到50%，居民人均住宅建筑30平方米以上。抓住实施乡村振兴有</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利</w:t>
      </w:r>
      <w:r>
        <w:rPr>
          <w:rFonts w:hint="default" w:ascii="Times New Roman" w:hAnsi="Times New Roman" w:eastAsia="仿宋_GB2312" w:cs="Times New Roman"/>
          <w:color w:val="000000" w:themeColor="text1"/>
          <w:szCs w:val="32"/>
          <w14:textFill>
            <w14:solidFill>
              <w14:schemeClr w14:val="tx1"/>
            </w14:solidFill>
          </w14:textFill>
        </w:rPr>
        <w:t>时机，结合乡村旅游、文明城镇建设，打造区域性特色小镇。</w:t>
      </w:r>
    </w:p>
    <w:p>
      <w:pPr>
        <w:pStyle w:val="5"/>
        <w:pageBreakBefore w:val="0"/>
        <w:widowControl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3" w:name="_Toc64916036"/>
      <w:r>
        <w:rPr>
          <w:rFonts w:hint="default" w:ascii="Times New Roman" w:hAnsi="Times New Roman" w:eastAsia="楷体_GB2312" w:cs="Times New Roman"/>
          <w:color w:val="000000" w:themeColor="text1"/>
          <w14:textFill>
            <w14:solidFill>
              <w14:schemeClr w14:val="tx1"/>
            </w14:solidFill>
          </w14:textFill>
        </w:rPr>
        <w:t xml:space="preserve"> 提升城市品位与特色</w:t>
      </w:r>
      <w:bookmarkEnd w:id="2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着力提升城市发展历史文化底蕴，不断丰富全国特色景观旅游名镇内涵。突出辽文化特色，启动辽文化产业园二期工程，沿沙里街北侧打造辽风仿古街，与辽文化产业园相呼应，形成特色景观带。实施沙里河等城市水系治理，打造环绕新城区集生态、排洪、景观等多功能为一体的城市水系。推进公园建设，完善提升皇城路带状公园，启动蛤蟆石山公园建设，实施北塔公园、知青公园、渤海古城、南塔公园、桃花岛公园、沙里河湿地公园等6大公园，让市民开窗见绿、出门见景。到2025年，城区绿地总面积达到950公顷，绿地覆盖率达到45%，人均公园面积达到16.95平方米，实现“居民步行平均十分钟见绿、二十分钟见园，城区三季见花、四季见绿”的目标。</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4" w:name="_Toc64916037"/>
      <w:r>
        <w:rPr>
          <w:rFonts w:hint="default" w:ascii="Times New Roman" w:hAnsi="Times New Roman" w:eastAsia="楷体_GB2312" w:cs="Times New Roman"/>
          <w:color w:val="000000" w:themeColor="text1"/>
          <w14:textFill>
            <w14:solidFill>
              <w14:schemeClr w14:val="tx1"/>
            </w14:solidFill>
          </w14:textFill>
        </w:rPr>
        <w:t xml:space="preserve"> 加快产城深度融合</w:t>
      </w:r>
      <w:bookmarkEnd w:id="24"/>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深入推进产城一体、产城融合发展，不断优化林东城区建设布局，将契丹辽文化元素融入城市建设。持续丰富上京辽文化产业园业态，完善“三馆一中心”功能配套设施，推进以网红直播为载体的 “网红经济”。优化提升林东城区商圈布局，加快完善新城区商贸中心，大力发展城市夜经济，推进居民消费不断升级。围绕产业用工需求完善就业支持政策，依托华夏职业学校打造职教基地，广泛开展职业技能培训，充分发挥就业公共实训基地作用，提高新增城镇就业和农牧民转移就业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5" w:name="_Toc64916038"/>
      <w:r>
        <w:rPr>
          <w:rFonts w:hint="default" w:ascii="Times New Roman" w:hAnsi="Times New Roman" w:eastAsia="楷体_GB2312" w:cs="Times New Roman"/>
          <w:color w:val="000000" w:themeColor="text1"/>
          <w14:textFill>
            <w14:solidFill>
              <w14:schemeClr w14:val="tx1"/>
            </w14:solidFill>
          </w14:textFill>
        </w:rPr>
        <w:t xml:space="preserve"> 建设智慧城市</w:t>
      </w:r>
      <w:bookmarkEnd w:id="2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加快智慧城市建设，整合城市数据采集、管理、交换、共享服务资源，建立智能化数据管理平合，提升城市精细化管理水平。着力提升城市服务水平，构建集城市热力、给水排水、环境卫生、园林绿化、道路桥梁、综合管廊于一体的“智慧城市”管理平台，实现基础设施更智能、公共服务更便捷、社会管理更精细。积极创建国家级卫生城市，将林东城区打造成美丽之城、宜居之城、创新之城。</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4"/>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pacing w:val="-4"/>
          <w14:textFill>
            <w14:solidFill>
              <w14:schemeClr w14:val="tx1"/>
            </w14:solidFill>
          </w14:textFill>
        </w:rPr>
      </w:pPr>
      <w:bookmarkStart w:id="26" w:name="_Toc64916039"/>
      <w:r>
        <w:rPr>
          <w:rFonts w:hint="default" w:ascii="Times New Roman" w:hAnsi="Times New Roman" w:eastAsia="黑体" w:cs="Times New Roman"/>
          <w:color w:val="000000" w:themeColor="text1"/>
          <w14:textFill>
            <w14:solidFill>
              <w14:schemeClr w14:val="tx1"/>
            </w14:solidFill>
          </w14:textFill>
        </w:rPr>
        <w:t xml:space="preserve"> </w:t>
      </w:r>
      <w:r>
        <w:rPr>
          <w:rFonts w:hint="default" w:ascii="Times New Roman" w:hAnsi="Times New Roman" w:eastAsia="黑体" w:cs="Times New Roman"/>
          <w:color w:val="000000" w:themeColor="text1"/>
          <w:spacing w:val="-4"/>
          <w14:textFill>
            <w14:solidFill>
              <w14:schemeClr w14:val="tx1"/>
            </w14:solidFill>
          </w14:textFill>
        </w:rPr>
        <w:t>强化完善基础设施网络体系 着力增强发展支撑保障能力</w:t>
      </w:r>
      <w:bookmarkEnd w:id="26"/>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紧紧围绕“提升信息网、优化公路网、丰富能源网、强化水利网”，着力补齐基础设施短板弱项，持续加大重大基础设施建设力度，加快构建系统完备、高效实用、智能绿色、安全可靠的现代化基础设施体系，全面实现基础设施互联互通、延伸覆盖，有效提升支撑高质量发展保障能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8"/>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27" w:name="_Toc64916040"/>
      <w:r>
        <w:rPr>
          <w:rFonts w:hint="default" w:ascii="Times New Roman" w:hAnsi="Times New Roman" w:eastAsia="楷体_GB2312" w:cs="Times New Roman"/>
          <w:color w:val="000000" w:themeColor="text1"/>
          <w14:textFill>
            <w14:solidFill>
              <w14:schemeClr w14:val="tx1"/>
            </w14:solidFill>
          </w14:textFill>
        </w:rPr>
        <w:t xml:space="preserve"> 布局新型基础设施</w:t>
      </w:r>
      <w:bookmarkEnd w:id="27"/>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大新型基础设施建设，大力推进以5G、物联网、工业互联网为代表的通信网络基础设施，加快完善信息基础设施网络体系。推动工业云平台建设，促进大数据与实体经济融合发展，建设智能电网、智慧农牧业、云旅游等重点项目。大力推进城市新能源充电桩建设，建设高速、移动、安全、泛在的新一代信息基础设施。加大5G网络基础建设，为5G基站站址、机房、管线、配套电力等提供市政建设条件，推动城区、重点乡镇、产业园区全覆盖。重点围绕民生服务、公共安全、社会信用等领域，探索运用区块链技术提升行业数据交易、监管安全及融合应用效果。实施新一代天气雷达系统。</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8" w:name="_Toc64916041"/>
      <w:r>
        <w:rPr>
          <w:rFonts w:hint="default" w:ascii="Times New Roman" w:hAnsi="Times New Roman" w:eastAsia="楷体_GB2312" w:cs="Times New Roman"/>
          <w:color w:val="000000" w:themeColor="text1"/>
          <w14:textFill>
            <w14:solidFill>
              <w14:schemeClr w14:val="tx1"/>
            </w14:solidFill>
          </w14:textFill>
        </w:rPr>
        <w:t xml:space="preserve"> 构建畅通便捷的交通运输网络</w:t>
      </w:r>
      <w:bookmarkEnd w:id="2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公路方面</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提升国省干线和县乡级公路建设公路等级，完善“三横三纵二环九出口”路网格局。重点实施林东至宝日勿苏一级路改造、国道305线向北至国道207线连接、县道192线乌珠花嘎查至白音诺尔铅锌矿公路工程、乡道205线新浩特至乌珠花公路工程、巴林左旗东环、西环出口公路工程、乡镇路网大外环公路工程、旅游公路工程等11项工程建设，着力推动公路网络不断延伸。到2025年，全旗公路“三横三纵二环九出口”路网进一步优化升级，“路长制”模式全面推行，农村公路建设争创国家级“四好”农村公路，补齐农村公路桥涵短板，路网上达到各苏木乡镇景区景点互</w:t>
      </w:r>
      <w:r>
        <w:rPr>
          <w:rFonts w:hint="eastAsia" w:ascii="Times New Roman" w:hAnsi="Times New Roman" w:eastAsia="仿宋_GB2312" w:cs="Times New Roman"/>
          <w:color w:val="000000" w:themeColor="text1"/>
          <w:szCs w:val="32"/>
          <w:lang w:val="en-US" w:eastAsia="zh-CN"/>
          <w14:textFill>
            <w14:solidFill>
              <w14:schemeClr w14:val="tx1"/>
            </w14:solidFill>
          </w14:textFill>
        </w:rPr>
        <w:t>联</w:t>
      </w:r>
      <w:r>
        <w:rPr>
          <w:rFonts w:hint="default" w:ascii="Times New Roman" w:hAnsi="Times New Roman" w:eastAsia="仿宋_GB2312" w:cs="Times New Roman"/>
          <w:color w:val="000000" w:themeColor="text1"/>
          <w:szCs w:val="32"/>
          <w14:textFill>
            <w14:solidFill>
              <w14:schemeClr w14:val="tx1"/>
            </w14:solidFill>
          </w14:textFill>
        </w:rPr>
        <w:t>互通。铁路方面</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加快实施林白铁路重建项目，建设林东至白音华煤矿150公里铁路，完成林东火车站候站楼提升改造工程，启动阿尔山-霍林河-林东铁路前期工作。机场方面</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完成巴林左旗通用机场建设，启动巴林左旗支线运输机场前期工作。城乡公交、客运站点方面</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实施林东客运站移址搬迁工程及苏木乡镇客运场站检核项目，满足乡村振兴和物流通畅需要。</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29" w:name="_Toc64916042"/>
      <w:r>
        <w:rPr>
          <w:rFonts w:hint="default" w:ascii="Times New Roman" w:hAnsi="Times New Roman" w:eastAsia="楷体_GB2312" w:cs="Times New Roman"/>
          <w:color w:val="000000" w:themeColor="text1"/>
          <w14:textFill>
            <w14:solidFill>
              <w14:schemeClr w14:val="tx1"/>
            </w14:solidFill>
          </w14:textFill>
        </w:rPr>
        <w:t xml:space="preserve"> 优化电力基础设施</w:t>
      </w:r>
      <w:bookmarkEnd w:id="29"/>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在工业园区、大型公用设施、商业区等新增用能区域，实施终端一体化集成供能建设，大力推广实施分布式、分散式再生能源发电、煤改电、煤改汽、地热能供暖等供能模式，因地制宜、统筹开发、互补利用传统能源和新能源。加强能源输配网络和储备应急设施建设，完成220千伏变电站易址新建、66千伏地区变电站迁址新建项目，稳步实施农村电网改造工程，着力提升城乡电力保障供应能力。加强主网和配网综合输变能力建设，改造提</w:t>
      </w:r>
      <w:r>
        <w:rPr>
          <w:rFonts w:hint="default" w:ascii="Times New Roman" w:hAnsi="Times New Roman" w:eastAsia="仿宋_GB2312" w:cs="Times New Roman"/>
          <w:color w:val="000000" w:themeColor="text1"/>
          <w:spacing w:val="-6"/>
          <w:szCs w:val="32"/>
          <w14:textFill>
            <w14:solidFill>
              <w14:schemeClr w14:val="tx1"/>
            </w14:solidFill>
          </w14:textFill>
        </w:rPr>
        <w:t>升老旧变电站，实现10千伏供电半径城区不超过5公里，农村地区不超过15公里，节能配变比例达到100%，低压线路四线延伸到每一户居民，供电可靠率提升到99.9%，综合电压合格率提升到99.8%，综合线损率下降到4.6%以下，户均停电小时数不超过8小时/年。到2025年，全部清除低电压、重过载、三相不平衡等问题。</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0" w:name="_Toc64916043"/>
      <w:r>
        <w:rPr>
          <w:rFonts w:hint="default" w:ascii="Times New Roman" w:hAnsi="Times New Roman" w:eastAsia="楷体_GB2312" w:cs="Times New Roman"/>
          <w:color w:val="000000" w:themeColor="text1"/>
          <w14:textFill>
            <w14:solidFill>
              <w14:schemeClr w14:val="tx1"/>
            </w14:solidFill>
          </w14:textFill>
        </w:rPr>
        <w:t xml:space="preserve"> 完善水利基础设施</w:t>
      </w:r>
      <w:bookmarkEnd w:id="30"/>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入实施节水增粮、高效节水改造和基本农田改造工程，发展农区牧区节水，推进井灌区、地表水灌渠节水改造，增加有效灌溉面积，提高抗旱减灾能力。抓住国家加强重大水利工程建设机遇，建成巴林左旗琥珀沟水利枢纽工程，全面完成海力图水库、桃石山水库和中型灌区节水改造工程，库区周边水源涵养工程，缓解工程性、资源</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型</w:t>
      </w:r>
      <w:r>
        <w:rPr>
          <w:rFonts w:hint="default" w:ascii="Times New Roman" w:hAnsi="Times New Roman" w:eastAsia="仿宋_GB2312" w:cs="Times New Roman"/>
          <w:color w:val="000000" w:themeColor="text1"/>
          <w:szCs w:val="32"/>
          <w14:textFill>
            <w14:solidFill>
              <w14:schemeClr w14:val="tx1"/>
            </w14:solidFill>
          </w14:textFill>
        </w:rPr>
        <w:t>缺水问题，增强城乡供水保障能力。完善城乡防洪减灾体系，加快建设重点地区应急抗旱水源工程，实施乌力吉沐沦河治理、中型病险水利工程除险加固工程、巴林左旗河流水系综合治理工程、小流域综合治理及坡改梯综合治理工程，提高水源涵养能力，确保流域防洪安全，最大限度减少洪水灾害损失。实施好农村牧区饮水安全巩固提升工程，突出抓好提质增效，进一步提高农村人饮工程供水保证率。</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w:t>
      </w:r>
      <w:bookmarkStart w:id="31" w:name="_Toc64916044"/>
      <w:r>
        <w:rPr>
          <w:rFonts w:hint="default" w:ascii="Times New Roman" w:hAnsi="Times New Roman" w:eastAsia="黑体" w:cs="Times New Roman"/>
          <w:color w:val="000000" w:themeColor="text1"/>
          <w14:textFill>
            <w14:solidFill>
              <w14:schemeClr w14:val="tx1"/>
            </w14:solidFill>
          </w14:textFill>
        </w:rPr>
        <w:t>深化扩大对外开放 进一步释放经济发展活力</w:t>
      </w:r>
      <w:bookmarkEnd w:id="31"/>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抓住发达地区产业转移的有利时机，牢牢盯住京津冀、环渤海两个关键区域，实施更高质量、更深层次的对外开放，有效提升经济发展外向度，以高水平开放推动经济高质量发展。</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5"/>
        <w:pageBreakBefore w:val="0"/>
        <w:widowControl w:val="0"/>
        <w:numPr>
          <w:ilvl w:val="0"/>
          <w:numId w:val="1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32" w:name="_Toc64916045"/>
      <w:r>
        <w:rPr>
          <w:rFonts w:hint="default" w:ascii="Times New Roman" w:hAnsi="Times New Roman" w:eastAsia="楷体_GB2312" w:cs="Times New Roman"/>
          <w:color w:val="000000" w:themeColor="text1"/>
          <w14:textFill>
            <w14:solidFill>
              <w14:schemeClr w14:val="tx1"/>
            </w14:solidFill>
          </w14:textFill>
        </w:rPr>
        <w:t xml:space="preserve"> 强化与北京全方位合作</w:t>
      </w:r>
      <w:bookmarkEnd w:id="32"/>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深化与顺义区、三峡集团全方位、多领域对口合作。借助京蒙扶贫协作和中央单位定点帮扶重大历史机遇，主动对接、推动对口帮扶工作深入开展、有序进行。进一步拓宽两地合作领域，持续在巩固</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拓展</w:t>
      </w:r>
      <w:r>
        <w:rPr>
          <w:rFonts w:hint="default" w:ascii="Times New Roman" w:hAnsi="Times New Roman" w:eastAsia="仿宋_GB2312" w:cs="Times New Roman"/>
          <w:color w:val="000000" w:themeColor="text1"/>
          <w:szCs w:val="32"/>
          <w14:textFill>
            <w14:solidFill>
              <w14:schemeClr w14:val="tx1"/>
            </w14:solidFill>
          </w14:textFill>
        </w:rPr>
        <w:t>脱贫攻坚成果</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同</w:t>
      </w:r>
      <w:r>
        <w:rPr>
          <w:rFonts w:hint="default" w:ascii="Times New Roman" w:hAnsi="Times New Roman" w:eastAsia="仿宋_GB2312" w:cs="Times New Roman"/>
          <w:color w:val="000000" w:themeColor="text1"/>
          <w:szCs w:val="32"/>
          <w14:textFill>
            <w14:solidFill>
              <w14:schemeClr w14:val="tx1"/>
            </w14:solidFill>
          </w14:textFill>
        </w:rPr>
        <w:t>乡村振兴有效衔接、协同发展上下功夫，选好项目、用好资金，充分发挥好援建项目资金的带动作用。广泛争取首都地区社会各界力量参与我旗实施乡村振兴战略，优化社会组织帮扶结构，创新性引导国家级公益基金会等组织参与产业合作、社会保障、消费扶贫，实现对口帮扶工作由全面推进向提质增效转变、单向帮扶向协同发展转变、政府主导向全社会参与转变，全力推动产业扶贫，积极引进种养殖、文化旅游、新能源等领域辐射带动效应强的项目，培育地区发展内生动力，努力实现两地优势互补、资源共享、良性互动、合作共赢的新局面。</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3" w:name="_Toc64916046"/>
      <w:r>
        <w:rPr>
          <w:rFonts w:hint="default" w:ascii="Times New Roman" w:hAnsi="Times New Roman" w:eastAsia="楷体_GB2312" w:cs="Times New Roman"/>
          <w:color w:val="000000" w:themeColor="text1"/>
          <w14:textFill>
            <w14:solidFill>
              <w14:schemeClr w14:val="tx1"/>
            </w14:solidFill>
          </w14:textFill>
        </w:rPr>
        <w:t xml:space="preserve"> 精准扩大有效投资</w:t>
      </w:r>
      <w:bookmarkEnd w:id="3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紧盯国家、自治区和赤峰市支持的重点领域、重大战略和投资导向，精准聚焦“两新一重”建设，加大产业转型、科技创新、基础设施、生态环保、公共服务等重点领域投资力度，充分发挥投资在优化供给结构、稳增长中的关键作用，加大项目建设力度。支持国有银行向上争取更多信贷规模，激励金融机构扩总量、调结构，加大对实体经济有效信贷支持，引导保险资金参与地方经济建设。激发民间有效投资，发挥政府投资撬动作用，全面落实民间资本平等准入，破除障碍，激发民间投资活力。鼓励和支持民间资本积极参与基础设施、市政公用和其他公共服务领城项目投资。大力发展民营经济，细化实化支持民营企业发展的政策举措，落实民营企业在投融资、招投标、专项资金补助、人才引进培养等方面的同等待遇，鼓励民营资本进入新兴产业，支持民营资本参与基础设施领域国有资本投资运营的项目，鼓励民间资本开展多元化农业投资，支持农村新产业新业态发展，形成市场主导的投资内生增长机制。</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4" w:name="_Toc64916047"/>
      <w:r>
        <w:rPr>
          <w:rFonts w:hint="default" w:ascii="Times New Roman" w:hAnsi="Times New Roman" w:eastAsia="楷体_GB2312" w:cs="Times New Roman"/>
          <w:color w:val="000000" w:themeColor="text1"/>
          <w14:textFill>
            <w14:solidFill>
              <w14:schemeClr w14:val="tx1"/>
            </w14:solidFill>
          </w14:textFill>
        </w:rPr>
        <w:t xml:space="preserve"> 激发对外开放活力</w:t>
      </w:r>
      <w:bookmarkEnd w:id="34"/>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实施更大范围、更宽领域、更深层次对外开放，不断拓展国内外交流合作的领域与深度，主动融入国家、自治区及赤峰市重大发展布局，形成全方位开放发展新态势。积极搭建特色开放平台，立足深入挖潜契丹辽文化资源，积极组织国际学术研讨会，建设好辽上京国际考古研究基地，高标准承办中国契丹辽文化节和辽上京冰雪文化旅游节，主动承办国内外大型文体赛事，开展国际国内经济、文化合作与交流，不断扩大巴林左旗知名度和影响力。深度融入周边区域经济发展，主动对接京津冀协同发展战略，利用京蒙对口帮扶与区域合作机遇，有效承接北京疏解非首都功能产业，提高绿色农畜产品在京津冀地区的市场占有率。抓住赤峰市实施“转身向海”战略机遇，积极参与“锡赤朝锦”辽蒙海陆开放合作试验区建设，发挥矿产资源、产业基础比较优势和临近蒙俄资源富集区的区位优势，主动承接产业转移。</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5" w:name="_Toc64916048"/>
      <w:r>
        <w:rPr>
          <w:rFonts w:hint="default" w:ascii="Times New Roman" w:hAnsi="Times New Roman" w:eastAsia="楷体_GB2312" w:cs="Times New Roman"/>
          <w:color w:val="000000" w:themeColor="text1"/>
          <w14:textFill>
            <w14:solidFill>
              <w14:schemeClr w14:val="tx1"/>
            </w14:solidFill>
          </w14:textFill>
        </w:rPr>
        <w:t xml:space="preserve"> 提升招商引资效能</w:t>
      </w:r>
      <w:bookmarkEnd w:id="3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大招商理念，促进招商引资和项目落地，构建“工业，农牧业、文化旅游业”三业并重的多元化招商格局，推进经济社会高质量发展。紧紧围绕打造产业集群，从招项目向引产业转变，着眼于京津冀、长三角、珠三角等发达地区产业向外转移，立足左旗产业优势，积极引进和承接关联度高的项目，并“以点带面”引入上下游配套项目，形成产业集聚效应。充分利用园区招商、乡友招商、以商招商等有效形式，持续加大招商引资力度，围绕产业发展进一步“补链、延链、强链”。激励健全招商引资机制。全面加强招商引资人才队伍建设，持续发挥各招商引资工作队伍的专业化优势，严格落实“以实绩论英雄，有为就有位”的工作导向，建立健全招商引资奖惩机制，充分激发广大干部干事创业的积极性。构建“亲”“清”新型政商关系，深入开展市场主体培育工程，实施服务市场主体专项行动，落实领导服务企业项目工作责任机制，实施重点项目“代办制”，向重点企业派驻“服务专员”，进行全方位、全过程的服务，真正将巴林左旗打造成为亲商爱商的投资“洼地”。“十四五”时期引进旗外资金年均增长10%以上。</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36" w:name="_Toc64916049"/>
      <w:r>
        <w:rPr>
          <w:rFonts w:hint="default" w:ascii="Times New Roman" w:hAnsi="Times New Roman" w:eastAsia="黑体" w:cs="Times New Roman"/>
          <w:color w:val="000000" w:themeColor="text1"/>
          <w14:textFill>
            <w14:solidFill>
              <w14:schemeClr w14:val="tx1"/>
            </w14:solidFill>
          </w14:textFill>
        </w:rPr>
        <w:t xml:space="preserve"> 切实加强重点领域改革 持续优化营商和发展环境</w:t>
      </w:r>
      <w:bookmarkEnd w:id="36"/>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全面深化改革，进一步优化营商环境，有力破解制约发展的瓶颈问题，健全完善要素市场化配置体制机制，不断激发市场活力、增强内生动力。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1"/>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37" w:name="_Toc64916050"/>
      <w:r>
        <w:rPr>
          <w:rFonts w:hint="default" w:ascii="Times New Roman" w:hAnsi="Times New Roman" w:eastAsia="楷体_GB2312" w:cs="Times New Roman"/>
          <w:color w:val="000000" w:themeColor="text1"/>
          <w14:textFill>
            <w14:solidFill>
              <w14:schemeClr w14:val="tx1"/>
            </w14:solidFill>
          </w14:textFill>
        </w:rPr>
        <w:t xml:space="preserve"> 推进农村牧区综合改革</w:t>
      </w:r>
      <w:bookmarkEnd w:id="37"/>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保持农村牧区土地承包关系稳定并长久不变，落实第二轮土地承包到期后再延长30年政策。落实承包地“三权分置”制度，健全土地流转规范管理制度，在依法保护集体所有权和农牧户承包权的前提下，推进土地草牧场经营权依法有序规范流转，发展多种形式农牧业适度规模经营。稳慎推进农村牧区宅基地制度改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化农村牧区集体产权制度改革，加强嘎查村“三资”管理，抓好集体经营性资产股份制合作改革，探索走资产租赁、合资合作、股份经营等多种形式集体经济发展路子。健全农牧业专业化社会化服务体系，实现小农牧户和现代农牧业有机衔接。推动土地经营权依法合规抵押融资，丰富集体资产股份抵押、担保形式。探索集体资产股份有偿退出和继承机制，逐步完善农村牧区集体产权权能。完善深化土地制度改革，建立完善旗乡村三级土地流转服务体系，每年规范流转土地达到85万亩以上。</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8" w:name="_Toc64916051"/>
      <w:r>
        <w:rPr>
          <w:rFonts w:hint="default" w:ascii="Times New Roman" w:hAnsi="Times New Roman" w:eastAsia="楷体_GB2312" w:cs="Times New Roman"/>
          <w:color w:val="000000" w:themeColor="text1"/>
          <w14:textFill>
            <w14:solidFill>
              <w14:schemeClr w14:val="tx1"/>
            </w14:solidFill>
          </w14:textFill>
        </w:rPr>
        <w:t xml:space="preserve"> 深化放管服改革</w:t>
      </w:r>
      <w:bookmarkEnd w:id="3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持续深化“放管服”改革，优化行政审批流程，清理和规范各类行政权力事项，实施精准协同放权，最大限度减环节、优流程、压时限、提效率，切实提升政务服务效能。深入推进“证照分离”改革，推行“多证合一、多审合一、容缺受理”审批模式。大力开展税费清理改革，全面落实好既定减税降费政策，合理降低实体经济企业在税费、融资、物流等方面成本，着力减轻市场主体负担。进一步完善交易平台体系建设规划，实现“应进必进”。完善管理体制、监督机制、安全防控体系，实现电子化交易、智能化评审、智慧化监管。完善综合性政务服务大厅集中服务模式，实现“一窗受理”“一网通办”“最多跑一次”，切实为市场主体提供“一站式”服务。统筹推进政务服务事项线上线下融合，依托“互联网+政务服务”，实现网上大厅与实体大厅资源整合、设备集成、体系完备、上下联动，充分发挥行政职能作用，当好服务企业的“店小二”，不断优化服务企业能力，严格落实好“跑办、帮办、代办”制度。</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39" w:name="_Toc64916052"/>
      <w:r>
        <w:rPr>
          <w:rFonts w:hint="default" w:ascii="Times New Roman" w:hAnsi="Times New Roman" w:eastAsia="楷体_GB2312" w:cs="Times New Roman"/>
          <w:color w:val="000000" w:themeColor="text1"/>
          <w14:textFill>
            <w14:solidFill>
              <w14:schemeClr w14:val="tx1"/>
            </w14:solidFill>
          </w14:textFill>
        </w:rPr>
        <w:t xml:space="preserve"> 完善要素市场化配置</w:t>
      </w:r>
      <w:bookmarkEnd w:id="39"/>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实施高标准市场体系建设行动，提高要素配置市场化改革，推进土地、劳动力、资本、技术等要素市场化配置，健全要素市场化交易平台，完善要素交易规则和服务体系，实现要素价格市场决定、流动自主有序、配置高效公平，确保各类市场主体平等获得要素。充分发挥好国有担保公司作用，积极搭建企业与金融机构对接桥梁，支持条件成熟的企业借力资本市场做大做强，实现新四板挂牌，进一步拓宽融资渠道。保护市场主体合法权益，全力清理涉企法律诉讼积案，进一步提高涉企案件办理时效和生效判决执行效率，确保各类市场主体公平参与竞争、安心投资兴业。加强知识产权保护，提高知识产权创造、运用、保护、管理服务水平，营造鼓励自主创新的良好氛围。加强知识产权行政执法和市场监管力度，加大对侵权、假冒、盗版行为的处罚力度，探索建立联合执法协调机制和纠纷快速解决机制，提高知识产权司法审判质量和效率。严控各种涉企检查，探索建立多部门联合“双随机、一公开”监管机制，建立健全涉企执法报备制度，坚决预防“随意性执法”“选择性执法”“倾向性执法”等行为，切实为企业营造宽松有序的市场环境、公平公正的法治环境。</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0" w:name="_Toc64916053"/>
      <w:r>
        <w:rPr>
          <w:rFonts w:hint="default" w:ascii="Times New Roman" w:hAnsi="Times New Roman" w:eastAsia="楷体_GB2312" w:cs="Times New Roman"/>
          <w:color w:val="000000" w:themeColor="text1"/>
          <w14:textFill>
            <w14:solidFill>
              <w14:schemeClr w14:val="tx1"/>
            </w14:solidFill>
          </w14:textFill>
        </w:rPr>
        <w:t xml:space="preserve"> 健全社会信用体系</w:t>
      </w:r>
      <w:bookmarkEnd w:id="40"/>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健全完善公共信用信息征集目录，建立诚信分类监管机制，完善守信联合激励和失信联合惩戒制度，在政务诚信、商务诚信、社会诚信和司法公信等领域全面建立信用承诺、信用核查和信用“红黑名单”制度，构建以信用为基础的新型市场监管体制，形成“一处失信，处处受限”的失信惩戒长效机制。增强全社会信用观念，打造诚信巴林左旗，进一步推动全旗农村牧区信用体系建设，营造良好的金融生态环境。发挥社会组织作用，促进行业信用体系建设。加强诚信建设宣传全覆盖，努力营造“知信、用信、守信”的浓厚氛围，形成全社会诚实守信、重信守诺的良好风尚。</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41" w:name="_Toc64916054"/>
      <w:r>
        <w:rPr>
          <w:rFonts w:hint="default" w:ascii="Times New Roman" w:hAnsi="Times New Roman" w:eastAsia="黑体" w:cs="Times New Roman"/>
          <w:color w:val="000000" w:themeColor="text1"/>
          <w14:textFill>
            <w14:solidFill>
              <w14:schemeClr w14:val="tx1"/>
            </w14:solidFill>
          </w14:textFill>
        </w:rPr>
        <w:t xml:space="preserve"> 全面实施乡村振兴战略 加快推进农村牧区现代化</w:t>
      </w:r>
      <w:bookmarkEnd w:id="4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立足我旗实际，加强地方党委对“三农三牧”工作的全面领导，以实施乡村振兴战略为总抓手，巩固拓展脱贫攻坚成果，实施乡村建设行动，提升农村牧区公共服务和社会治理水平，推动农村牧区全面发展进步，以农村牧区现代化促进经济社会发展现代化。</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2"/>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42" w:name="_Toc64916055"/>
      <w:r>
        <w:rPr>
          <w:rFonts w:hint="default" w:ascii="Times New Roman" w:hAnsi="Times New Roman" w:eastAsia="楷体_GB2312" w:cs="Times New Roman"/>
          <w:color w:val="000000" w:themeColor="text1"/>
          <w14:textFill>
            <w14:solidFill>
              <w14:schemeClr w14:val="tx1"/>
            </w14:solidFill>
          </w14:textFill>
        </w:rPr>
        <w:t xml:space="preserve"> 巩固脱贫攻坚成果  实现与乡村振兴有效衔接</w:t>
      </w:r>
      <w:bookmarkEnd w:id="42"/>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坚持稳中求进、长短结合，提高脱贫质量和可持续性，健全完善防止返贫监测和帮扶制度机制，做好脱贫攻坚同乡村振兴有效衔接，接续推动旗县区乡村全面振兴，着重增强内生发展动力和发展活力。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巩固脱贫成果，推进主导产业鲜明突出、生态环境宜居宜业、乡村治理有力有效、群众生活富裕和谐的乡村振兴示范嘎査村建设。进一步提升“两不愁三保障”和饮水安全水平，稳步推进义务教育、基本医疗、住房保障等基本公共服务全覆盖，推进健康扶贫送医配药服务项目，实现健康扶贫脱贫人口参保补贴和兜底保障全覆盖。落实“四不摘”政策，保持“过渡期”内的各项扶持政策稳定。持续巩固脱贫成果，构建精准防贫体系，筑牢返贫致贫防线，强化脱贫人口的技能培训和实用技术培训。制定《巴林左旗脱贫人口分类管理方案》，建立完善巩固成果防止返贫数据平台，围绕“两不愁三保障”主要指标，密切跟踪脱贫不稳定户、边缘易致贫户以及收入骤减、支出骤增户，建立对重点对象实时监测的防返贫监测预警和动态帮扶机制，防止脱贫人口返贫、边缘人口致贫。继续推行“防贫保”，提高防贫对象的保险保障水平，有效防止因病、因灾、因学等致贫返贫。发挥泽惠富民国有扶贫公司职能，进一步加强扶贫项目和资产后续管理使用，确保扶贫资产产权明晰、权责明确，制度完善、管理到位，实现建得起、用得上、涨收益，不断强化产业扶贫项目风险防范力度。建立政府主导推动、龙头企业带动、合作组织互动、产业园区牵动、能人大户联动、干群联帮促动的巩固脱贫成果工作机制，全面提升脱贫质量。引导市场主体与脱贫群众建立紧密的利益联结机制，带动脱贫户广泛参与产业发展各个环节和生产经营活动，降低产业风险和抵御自然灾害能力，实现持续增收。大力发展笤帚苗、肉牛、肉驴三大主导产业和中药材、鲜食玉米、果蔬、杂粮豆等特色富民产业，实施肉牛、肉驴标准化规模养殖场建设和养殖专业村、庭院经济示范村创建，在壮大嘎查村级集体经济、农副产品和中药材深加工及流通环节项目等方面加大扶持力度，打造扶贫产业园区25个，巩固提升产业扶贫成效。持续推行稳岗就业、金融扶贫、消费扶贫、保险扶贫、社会扶贫、东西部协作和定点帮扶等工作举措。加快推进易地搬迁后续产业发展和管理工作，确保“搬得出、稳得住、能致富”。</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3" w:name="_Toc64916056"/>
      <w:r>
        <w:rPr>
          <w:rFonts w:hint="default" w:ascii="Times New Roman" w:hAnsi="Times New Roman" w:eastAsia="楷体_GB2312" w:cs="Times New Roman"/>
          <w:color w:val="000000" w:themeColor="text1"/>
          <w14:textFill>
            <w14:solidFill>
              <w14:schemeClr w14:val="tx1"/>
            </w14:solidFill>
          </w14:textFill>
        </w:rPr>
        <w:t xml:space="preserve"> 培育壮大农牧业市场主体</w:t>
      </w:r>
      <w:bookmarkEnd w:id="4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壮大农牧业产业化龙头企业，发挥龙头企业在全产业链布局中的关键作用，培育产业链领军企业，促进农牧业生产、加工、物流、研发和服务相互融合发展。培育壮大新型农牧业生产经营主体，突出抓好合作社示范创建，逐步将小农牧户引入现代化农牧业发展轨道，实现合作组织覆盖率达到70%。充分开发和利用好现有农牧业产业基础，促进农牧业生产方式转变，完善农牧业社会化服务体系，加快建设新型服务型主体，组建区域性农牧业社会化服务综合平台，构建集信息、技术、生产、流通、金融、保险于一体的现代农牧业服务体系。加大政策扶持力度，依托农牧业产业链打造，促进产地深加工产品上行到核心的供应链平台，逐步与大城市、大商超、大农畜产品批发市场、大供应平台对接耦合，促进小农牧户生产和现代农业有机衔接，不断完善利益联结机制，推进全产业链融合发展，扎实推动乡村产业发展壮大。健全农畜产品政策性保险制度，鼓励商业性补充保险适度扩大规模，大力培育农村电子商务企业。</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4" w:name="_Toc64916057"/>
      <w:r>
        <w:rPr>
          <w:rFonts w:hint="default" w:ascii="Times New Roman" w:hAnsi="Times New Roman" w:eastAsia="楷体_GB2312" w:cs="Times New Roman"/>
          <w:color w:val="000000" w:themeColor="text1"/>
          <w14:textFill>
            <w14:solidFill>
              <w14:schemeClr w14:val="tx1"/>
            </w14:solidFill>
          </w14:textFill>
        </w:rPr>
        <w:t xml:space="preserve"> 实施乡村建设行动</w:t>
      </w:r>
      <w:bookmarkEnd w:id="44"/>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全面开展新农村新牧区建设。科学开展乡村布局和规划，常态开展危房改造，提升农房建设质量，完善乡村水、电、路、气、通信、广播电视、物流等基础设施。加快粪污收储运和资源利用体系建设，引导规模养殖场建设必要的粪污处理利用配套设施，合理布局科学建设堆肥中心和有机肥厂，巩固提升秸秆饲料化利用成果。到2025年，粪污和秸秆综合利用率达到95%以上。推进“厕所革命”，实施农村牧区厕所改造项目，每年新增农牧户改厕1000户以上。实施农村牧区人居环境整治项目，积极开展垃圾污水治理，梯次推进南部5个苏木乡镇和北部6个苏木乡镇垃圾治理环卫一体化试点项目和污水集中处理站项目建设，对接嘎查村现有垃圾治理运行维护体系，配套低温热解站、装卸机械、垃圾点等收集、转运、处理设施设备，动员广大群众常态化开展村庄清洁行动，建立完善长效管护机制。实施村庄绿化美化提升工程，打造宜居宜业美丽生态乡村。不断加强公共基础设施建设，提高农村牧区公共服务水平，推动农村牧区基本公共服务均等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深入推进平安乡村建设。加强嘎查村“两委”班子建设，加快构建党组织领导的自治、法治、德治相结合的乡村基层治理体系。切实提高乡村善治水平，以社会主义核心价值观为引领，加强农牧民思想道德建设，推进农村牧区公共文化建设和农村牧区文化市场繁荣，大力倡导文明乡风，培育挖掘乡土文化人才，传承发展农村牧区优秀传统文化，确保乡村社会充满活力、和谐有序。</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45" w:name="_Toc64916058"/>
      <w:r>
        <w:rPr>
          <w:rFonts w:hint="default" w:ascii="Times New Roman" w:hAnsi="Times New Roman" w:eastAsia="黑体" w:cs="Times New Roman"/>
          <w:color w:val="000000" w:themeColor="text1"/>
          <w14:textFill>
            <w14:solidFill>
              <w14:schemeClr w14:val="tx1"/>
            </w14:solidFill>
          </w14:textFill>
        </w:rPr>
        <w:t xml:space="preserve"> 增进人民群众福祉 持续建设幸福和谐左旗</w:t>
      </w:r>
      <w:bookmarkEnd w:id="4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坚持人民至上理念，以满足人民群众对美好生活向往为出发点和落脚点，健全基本公共服务体系，积极办好民生实事，切实提高人民群众生活质量，不断增强人民群众获得感、幸福感和安全感。</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46" w:name="_Toc64916059"/>
      <w:r>
        <w:rPr>
          <w:rFonts w:hint="default" w:ascii="Times New Roman" w:hAnsi="Times New Roman" w:eastAsia="楷体_GB2312" w:cs="Times New Roman"/>
          <w:color w:val="000000" w:themeColor="text1"/>
          <w14:textFill>
            <w14:solidFill>
              <w14:schemeClr w14:val="tx1"/>
            </w14:solidFill>
          </w14:textFill>
        </w:rPr>
        <w:t xml:space="preserve"> 提高居民收入水平</w:t>
      </w:r>
      <w:bookmarkEnd w:id="46"/>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lang w:eastAsia="zh-CN"/>
          <w14:textFill>
            <w14:solidFill>
              <w14:schemeClr w14:val="tx1"/>
            </w14:solidFill>
          </w14:textFill>
        </w:rPr>
        <w:t>坚持</w:t>
      </w:r>
      <w:r>
        <w:rPr>
          <w:rFonts w:hint="default" w:ascii="Times New Roman" w:hAnsi="Times New Roman" w:eastAsia="仿宋_GB2312" w:cs="Times New Roman"/>
          <w:color w:val="000000" w:themeColor="text1"/>
          <w:szCs w:val="32"/>
          <w14:textFill>
            <w14:solidFill>
              <w14:schemeClr w14:val="tx1"/>
            </w14:solidFill>
          </w14:textFill>
        </w:rPr>
        <w:t>以城带乡，促进城乡居民持续同步增收。坚持按劳分配为主体、多种分配方式并存，提高劳动报酬在初次分配中的比重。以创新促创业、以产业促就业，推进实施重点群体增收激励计划，拓宽居民劳动收入和财产性收入渠道，着力提高低收入群体收入，扩大中等收入群体规模。健全以税收、社会保障、转移支付等为主要手段的再分配调节机制。落实事业单位基本工资正常调整机制，完善机关事业单位工资和津补贴制度。完善企业工资分配的宏观指导制度。强化农民工工资支付机制建设，不断缩小城乡居民收入差距。</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7" w:name="_Toc64916060"/>
      <w:r>
        <w:rPr>
          <w:rFonts w:hint="default" w:ascii="Times New Roman" w:hAnsi="Times New Roman" w:eastAsia="楷体_GB2312" w:cs="Times New Roman"/>
          <w:color w:val="000000" w:themeColor="text1"/>
          <w14:textFill>
            <w14:solidFill>
              <w14:schemeClr w14:val="tx1"/>
            </w14:solidFill>
          </w14:textFill>
        </w:rPr>
        <w:t xml:space="preserve"> 实施就业优先战略</w:t>
      </w:r>
      <w:bookmarkEnd w:id="47"/>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把稳就业摆在更加突出的位置，全面促进更加充分、更高质量就业。认真落实各项就业优惠政策，持续优化公共就业服务，提高就业服务精准度，搭建信息化服务平台，推进人才资源市场建设，促进市场与求职者精准对接。深入推进职业技能提升行动，不断扩大政策受益面，加大对企业职工、农牧民工、就业困难人员等的技能培训力度，年均专项培训重点群体1000人以上。不断加大援企稳岗力度，全力支持企业稳定就业岗位，多举措扶持民营企业和中小微企业发展，破解中小微企业融资难、融资贵问题，加大对灵活就业、新就业形态的支持力度，拓展新的就业创业空间，促进创业创新环境优化升级。突出抓牢重点群体就业，促进高校毕业生就业创业，引导和鼓励更多高校毕业生到基层工作。扎实做好去产能职工分流安置、农村剩余劳动力转移就业、农牧民工返乡创业等工作，积极强化就业援助，确保零就业家庭动态清零。着力拓展就业扶贫成果，持续创建就业扶贫车间，加大公益性岗位开发力度，积极促进贫困劳动力就近就地就业。注重发挥孵化基地引领作用，健全完善巴林左旗公共实训基地配套业态建设，确保建成集就业指导、技能实训和创业服务于一体的公益性服务保障平台。切实构建和谐稳定劳动关系，常态化开展根治拖欠农民工工资工作，完善治欠保支长效机制，推进劳动保障领域信用体系建设，加快实现劳动关系共建共享共治，有效维护劳动关系双方合法权益。到2025年，城镇新增就业6000人，城镇登记失业率始终控制在6%以内，农牧民年均转移就业5万人次以上。</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8" w:name="_Toc64916061"/>
      <w:r>
        <w:rPr>
          <w:rFonts w:hint="default" w:ascii="Times New Roman" w:hAnsi="Times New Roman" w:eastAsia="楷体_GB2312" w:cs="Times New Roman"/>
          <w:color w:val="000000" w:themeColor="text1"/>
          <w14:textFill>
            <w14:solidFill>
              <w14:schemeClr w14:val="tx1"/>
            </w14:solidFill>
          </w14:textFill>
        </w:rPr>
        <w:t xml:space="preserve"> 完善社会保障体系</w:t>
      </w:r>
      <w:bookmarkEnd w:id="4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按照“兜底线、织密网、建机制”的要求，全面建成覆盖全民、城乡统筹、权责清晰、保障适度、可持续的多层次社会保障体系。充分发挥基本医疗保险、大病保险、补充保险和医疗救助“3+1”体系的协同互补作用，完善低保、特困和低收入家庭认定办法，探索实施低收入家庭多部门联合救助措施，规范救助标准调整机制，“十四五”期间建设完成民政各项救助网上审批平台。推进社会救助制度城乡统筹，加快实现城乡救助服务均等化，打造多层次救助体系。推进政府购买社会救助服务，扩大社会救助服务供给，规范购买流程，加强监督评估。进一步健全养老服务体系，推动发展“互联网+养老服务”，加快居家社区养老服务发展，深入推进医养结合养老服务模式，加强养老服务专业化人才队伍建设。全面落实孤儿、农村牧区留守儿童、困境儿童救助保护政策制度和机制，加强未成年人保护队伍建设，引导更多社会组织、社会工作服务机构广泛参与到未成年人保护工作中来。完善殡葬管理服务，实施巴林左旗殡仪馆设施设备升级改造项目，规划建设公益墓地1处。强化地名管理，稳步完善区划地名标准化建设，提升地名规范化水平。不断提升基层政权建设和社区治理水平，推进社会组织高质量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大幅提高社会保障水平。深入实施全民参保计划，持续扩大社会保险覆盖面，加快完善全民参保登记信息库，摸清底数、精细比对、动态跟踪，推动实现法定人群全覆盖。继续实施养老保险扩面专项行动，以中小微企业和广大农牧民工、灵活就业人员、新就业形态人员、未参保居民等群体为重点精准扩面。探索构建多层次养老保险体系，引导参保人员参加个人商业养老保险，推动养老保险第三支柱发展。落实城乡居民基本养老保险两个机制，及时调整城乡居民基础养老金标准，加强基金运营分析，多渠道筹资确保养老金按时足额发放。加大社保政策宣传力度，引导重点群体积极参保、持续缴费。继续实施工伤保险“同舟计划”，推进建筑业按项目参保和尘肺病重点行业纳入工伤保险。建立基本医疗保险基金总额控制下以病种付费为主的多元复合付费医保支付机制，完善医疗保障基金监管长效机制。推进医保公共服务标准化建设，实施医保公共服务平台建设工程，规范公共服务范围、服务内容、服务流程，推进异地就医结算，扩大异地就医结算业务种类。健全社会保险基金风险防控机制，动态监测基金运行情况，常态化开展基金审计监督，严厉打击各类冒领、骗取社保待遇的违法行为，及时化解基金风险，确保社保基金安全运行。“十四五”期间全旗城乡居民基本养老保险和基本医疗保险参保率保持在95%以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做好退役军人安置服务。高标准、高质量落实好退伍军人各项工作任务，持续深化退役军人服务体系建设，健全和完善旗乡村三级退役军人服务体系。做好移交安置和军休服务工作，强化就业创业扶持，使退役军人就业、安置、保障更加有力，服务管理更加精准、规范。</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49" w:name="_Toc64916062"/>
      <w:r>
        <w:rPr>
          <w:rFonts w:hint="default" w:ascii="Times New Roman" w:hAnsi="Times New Roman" w:eastAsia="楷体_GB2312" w:cs="Times New Roman"/>
          <w:color w:val="000000" w:themeColor="text1"/>
          <w14:textFill>
            <w14:solidFill>
              <w14:schemeClr w14:val="tx1"/>
            </w14:solidFill>
          </w14:textFill>
        </w:rPr>
        <w:t xml:space="preserve"> 建设高质量教育体系</w:t>
      </w:r>
      <w:bookmarkEnd w:id="49"/>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深化教育教学改革，全面促进城乡教育向优质提升转变，围绕立德树人根本任务，整体实现育人方式、教师成长方式和学校管理方式转型，深入开展“建设学习共同体，办‘一个都不能少’的真教育”行动，统筹推进各级各类教育持续健康快速发展，培养德智体美劳全面发展的社会主义建设者和接班人。发展蓬勃兴旺的民族教育，打造高素质、专业化民族师资队伍，坚定不移推进国家通用语言文字教育，全面提高民族教育整体办学水平；发展公益普惠的学前教育，大力发展公办幼儿园、兴办普惠性幼儿园，有效满足学龄前儿童“就近入园、入优质园”需求；确保实现城乡义务教育一体化发展，大幅改善农村牧区学校办学条件，创建全国义务教育发展优质均衡县；特色发展多样化的普通高中教育，深入实施高中教育综合改革，保障高考质量再上新台阶；内涵特色发展职业教育，不断深化产教融合、校企合作，专业结构紧密对接经济社会发展需求，持续打造骨干专业、特色专业和创新专业；深入推进特殊教育事业发展，加强特殊教育师资专业化队伍建设，因地制宜发展残疾儿童学前教育；发展规范的民办教育，加大对民办教育监督指导力度，促进民办学校健康有序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大资金投入力度，有序实施城镇中小学布局优化工程、城乡教育薄弱环节改善与能力提升工程、中小学校安全改造工程、学前教育和职业教育提升工程等，确保适龄儿童少年均可接受公平优质教育，学前三年毛入园率达到90%以上，普惠性幼儿园覆盖率达到85%以上，公办园在园幼儿占比达到70%以上；义务教育阶段入学率达到100%、巩固率达到99%以上；高中阶段毛入学率达到94%以上；“三类”残疾儿童少年入学率达到95%以上，特殊教育学校办学水平显著提升。</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0" w:name="_Toc64916063"/>
      <w:r>
        <w:rPr>
          <w:rFonts w:hint="default" w:ascii="Times New Roman" w:hAnsi="Times New Roman" w:eastAsia="楷体_GB2312" w:cs="Times New Roman"/>
          <w:color w:val="000000" w:themeColor="text1"/>
          <w14:textFill>
            <w14:solidFill>
              <w14:schemeClr w14:val="tx1"/>
            </w14:solidFill>
          </w14:textFill>
        </w:rPr>
        <w:t xml:space="preserve"> 推动健康左旗建设</w:t>
      </w:r>
      <w:bookmarkEnd w:id="50"/>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健全完善覆盖城乡居民的公共卫生服务体系，促进医疗卫生服务质量、服务效率和群众满意度显著提升，大幅减轻个人就医费用负担。牢固树立大卫生、大健康理念和预防为主方针，稳步提高全民健康素养水平，确保慢性病发病率上升趋势得到遏制，重点传染病、严重精神障碍、地方病、职业病得到有效防控，健康公平基本实现。持续深化医药卫生体制改革，巩固夯实分级诊疗体系，提高旗域医疗卫生资源配置和使用效率，构建分级诊疗、合理诊治和有序就医新秩序。长效抓牢医疗服务管理，逐年提高基本药物使用比例，深入落实按病种收付费改革，切实减轻个人就医用药费用负担。全面加强医疗卫生交流合作，进一步巩固和发展已建立的对口支援协作关系，充分发挥专家团队对旗级医院的引领和带动作用，保障重点学科建设取得突破进展，实现旗医院顺利晋升三级乙等综合医院。全面提升公共卫生服务水平，全力实施国家基本公共卫生服务项目，有效推进基本公共卫生服务均等化，改善疾病预防控制基础条件，增强早期监测预警能力，切实强化传染病救治能力建设，重点做好鼠疫、新冠肺炎各项常态化防控，完成地方病、尘肺病三年攻坚专项行动。健全和完善突发事件应急预案，强化医疗队伍知识储备、人才建设和培训演练。持续营造健康支持性环境，深入开展爱国卫生运动，积极创建国家卫生县城。繁荣发展中蒙医药事业，不断提高中蒙医院核心竞争力和综合服务能力，加强中蒙医药资源保护、研究开发和合理利用，提升中蒙医药产业发展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进一步加强卫生基础设施建设，逐步建成方舱医院平战两用改造、旗医院传染病病区、中医蒙医医院重症监护病房（ICU）改扩建、疾控中心实验楼等一批项目，显著提升公共卫生安全能力、医疗机构服务能力。各种传染病发病率显著下降，地方病不再成为危害居民健康的重点问题，接尘工龄不足5年的劳动者新发尘肺病报告例数逐年减少。确保居民营养健康知识知晓率达到86%以上，心脑血管疾病死亡率下降到0.2%以下，中医药、蒙医药健康管理覆盖率分别达到55%以上。</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1" w:name="_Toc64916064"/>
      <w:r>
        <w:rPr>
          <w:rFonts w:hint="default" w:ascii="Times New Roman" w:hAnsi="Times New Roman" w:eastAsia="楷体_GB2312" w:cs="Times New Roman"/>
          <w:color w:val="000000" w:themeColor="text1"/>
          <w14:textFill>
            <w14:solidFill>
              <w14:schemeClr w14:val="tx1"/>
            </w14:solidFill>
          </w14:textFill>
        </w:rPr>
        <w:t xml:space="preserve"> 促进人口均衡发展</w:t>
      </w:r>
      <w:bookmarkEnd w:id="51"/>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保持适度生育水平。加强计划生育服务管理能力建设，促进人口均衡发展。加强妇幼卫生保健和生育服务，提高孕产妇、新生儿危急重症救治能力，有效降低孕产妇死亡率和婴儿死亡率，加大妇女常见病防治力度，维护妇女儿童合法权益。加强托幼机构卫生保健工作，托幼机构卫生保健指导实现全覆盖。加强妇幼卫生保健和生育服务，落实好妇女儿童发展两个纲要，向孕产妇提供生育全过程的基本医疗保健服务。孕产妇死亡率和5岁以下儿童死亡率分别控制在国家预期目标以下。力争建设完成20个“儿童之家”，增强城乡基层儿童关爱服务能力。建立农村牧区儿童关爱服务体系，推进政府购买儿童保护相关服务，不断加大孤儿、困境儿童、农村牧区留守儿童救助保护力度。关爱青少年健康，加强学校卫生工作，加强学生近视、龋齿、肥胖等常见病防治工作，将健康教育纳入国民教育体系。加大对学校集体供餐的食品安全和营养质量监管、指导力度，加强在校学生传染病防治和心理健康服务。完善养老服务体系。实施积极应对人口老龄化国家战略，加大政府资源投入和政策扶持力度，增加养老服务基础设施，健全老年健康服务体系。加强养老服务信息化建设，推动全旗养老服务智能化、专业化、规模化、标准化发展。推进政府购买养老服务试点项目。“十四五”期间，在全旗范围内全面铺开政府购买居家和城乡养老服务工作。加大养老服务机构建设力度，完成白音敖包区域中心敬老院、洞山区域中心敬老院、碧流台区域中心敬老院、乾怡苑康养中心等项目建设。加快社区日间照料中心项目建设进度，到2025年，城镇社区日间照料中心覆盖率达到90%以上。支持养老机构按规定开办医疗机构，开展老年病、康复、护理、中医和安宁疗护等服务，推动中医药与养老结合。保障残疾人健康服务，开展残疾预防行动，增强全社会残疾预防意识，有效控制残疾的发生和发展。推动基层医疗卫生机构优先为残疾人提供基本医疗、公共卫生和健康管理等签约服务。继续开展防盲治盲和防聋治聋工作，建设残疾人社区精神障碍康复站。</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52" w:name="_Toc64916065"/>
      <w:r>
        <w:rPr>
          <w:rFonts w:hint="default" w:ascii="Times New Roman" w:hAnsi="Times New Roman" w:eastAsia="黑体" w:cs="Times New Roman"/>
          <w:color w:val="000000" w:themeColor="text1"/>
          <w14:textFill>
            <w14:solidFill>
              <w14:schemeClr w14:val="tx1"/>
            </w14:solidFill>
          </w14:textFill>
        </w:rPr>
        <w:t xml:space="preserve"> 繁荣文化体育事业 着力提升地区文化软实力</w:t>
      </w:r>
      <w:bookmarkEnd w:id="52"/>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围绕举旗帜、聚民心、育新人、兴文化、展形象的使命任务，加强精神文明建设，繁荣公共文化事业，大力发展文化体育产业，塑造特色文化品牌，更好满足人民日益增长的文化需求，持续宣传巴林左旗文明形象，扩大地区文化对外影响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5"/>
        <w:pageBreakBefore w:val="0"/>
        <w:widowControl w:val="0"/>
        <w:numPr>
          <w:ilvl w:val="0"/>
          <w:numId w:val="14"/>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53" w:name="_Toc64916066"/>
      <w:r>
        <w:rPr>
          <w:rFonts w:hint="default" w:ascii="Times New Roman" w:hAnsi="Times New Roman" w:eastAsia="楷体_GB2312" w:cs="Times New Roman"/>
          <w:color w:val="000000" w:themeColor="text1"/>
          <w14:textFill>
            <w14:solidFill>
              <w14:schemeClr w14:val="tx1"/>
            </w14:solidFill>
          </w14:textFill>
        </w:rPr>
        <w:t xml:space="preserve"> 推进文明巴林左旗建设</w:t>
      </w:r>
      <w:bookmarkEnd w:id="53"/>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加强公民道德建设，贯彻落实《新时代公民道德建设实施纲要》和《新时代爱国主义教育实施纲要》，深入实施爱国爱乡、遵规守法、爱岗敬业、诚信友善、孝老爱亲、健康生活、生态文明、志愿服务等行动。推动理念信念教育常态化、制度化，弘扬民族精神和时代精神，加强党史、新中国史、改革开放史教育，加强爱国主义、集体主义、社会主义教育，实施公民道德建设工程，推进新时代文明实践中心建设。培育和践行社会主义核心价值观，弘扬时代新风，培育时代新人，引导和激励全旗各族干部群众不断提高思想道德素质和文明素质。推动群众性精神文明创建活动向纵深发展，深入开展文明城市、文明村镇、文明单位、文明家庭等群众性精神文明创建活动。深化文明城市创建，加强群众文明素质教育引导，打造美丽整洁的生活环境、规范有序的社会秩序、便捷高效的公共服务，提升群众综合素质、城市文明程度和群众生活质量，到2025年，力争进入全区文明城市行列。</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5"/>
        <w:pageBreakBefore w:val="0"/>
        <w:widowControl w:val="0"/>
        <w:numPr>
          <w:ilvl w:val="0"/>
          <w:numId w:val="1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4" w:name="_Toc64916067"/>
      <w:r>
        <w:rPr>
          <w:rFonts w:hint="default" w:ascii="Times New Roman" w:hAnsi="Times New Roman" w:eastAsia="楷体_GB2312" w:cs="Times New Roman"/>
          <w:color w:val="000000" w:themeColor="text1"/>
          <w14:textFill>
            <w14:solidFill>
              <w14:schemeClr w14:val="tx1"/>
            </w14:solidFill>
          </w14:textFill>
        </w:rPr>
        <w:t xml:space="preserve"> 完善公共文化服务体系</w:t>
      </w:r>
      <w:bookmarkEnd w:id="54"/>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实施文艺作品精品创作工程。以中华优秀传统文化为根脉，加强契丹辽文化、诺恩吉雅等题材的</w:t>
      </w:r>
      <w:r>
        <w:rPr>
          <w:rFonts w:hint="eastAsia" w:ascii="Times New Roman" w:hAnsi="Times New Roman" w:eastAsia="仿宋_GB2312" w:cs="Times New Roman"/>
          <w:color w:val="000000" w:themeColor="text1"/>
          <w:szCs w:val="32"/>
          <w:lang w:eastAsia="zh-CN"/>
          <w14:textFill>
            <w14:solidFill>
              <w14:schemeClr w14:val="tx1"/>
            </w14:solidFill>
          </w14:textFill>
        </w:rPr>
        <w:t>作品</w:t>
      </w:r>
      <w:r>
        <w:rPr>
          <w:rFonts w:hint="default" w:ascii="Times New Roman" w:hAnsi="Times New Roman" w:eastAsia="仿宋_GB2312" w:cs="Times New Roman"/>
          <w:color w:val="000000" w:themeColor="text1"/>
          <w:szCs w:val="32"/>
          <w14:textFill>
            <w14:solidFill>
              <w14:schemeClr w14:val="tx1"/>
            </w14:solidFill>
          </w14:textFill>
        </w:rPr>
        <w:t>创作，“十四五”期间重点打造2部以上体现时代文化成就的舞台艺术优秀作品。实施城乡公共文化一体化建设工程。建立健全文化馆、图书馆总分馆制，着力推进苏木乡镇（街道）综合文化站和嘎查村（社区）综合性文化服务中心建设。实施群众性文化活动惠民工程，全力打造“送戏下乡”、“贺新春”等系列活动，打响文化讲堂、老年大学、全民阅读等系列文化活动，深入组织开展各类文艺辅导演出、年货大集等群众性文化活动，确保每年开展各类惠民演出不低于400场次。实施优秀传统文化传承发展工程，编制完成非物质文化遗产代表性项目保护规划，充实各级非遗代表性名录，壮大非遗代表性传承人队伍。同时，实施非物质文化遗产传承人群培训计划，加大对非物质文化遗产代表性传承人和民族优秀传统手工艺的扶持力度，加强传承人梯队建设。实施补齐公共文化短板工程。完成巴林左旗非物质文化遗产展示中心、乌兰牧骑</w:t>
      </w:r>
      <w:r>
        <w:rPr>
          <w:rFonts w:hint="eastAsia" w:ascii="Times New Roman" w:hAnsi="Times New Roman" w:eastAsia="仿宋_GB2312" w:cs="Times New Roman"/>
          <w:color w:val="000000" w:themeColor="text1"/>
          <w:szCs w:val="32"/>
          <w:lang w:eastAsia="zh-CN"/>
          <w14:textFill>
            <w14:solidFill>
              <w14:schemeClr w14:val="tx1"/>
            </w14:solidFill>
          </w14:textFill>
        </w:rPr>
        <w:t>宫</w:t>
      </w:r>
      <w:r>
        <w:rPr>
          <w:rFonts w:hint="default" w:ascii="Times New Roman" w:hAnsi="Times New Roman" w:eastAsia="仿宋_GB2312" w:cs="Times New Roman"/>
          <w:color w:val="000000" w:themeColor="text1"/>
          <w:szCs w:val="32"/>
          <w14:textFill>
            <w14:solidFill>
              <w14:schemeClr w14:val="tx1"/>
            </w14:solidFill>
          </w14:textFill>
        </w:rPr>
        <w:t>、诺恩吉雅文化广场、昭乌达盟署博物馆</w:t>
      </w:r>
      <w:r>
        <w:rPr>
          <w:rFonts w:hint="eastAsia" w:ascii="Times New Roman" w:hAnsi="Times New Roman" w:eastAsia="仿宋_GB2312" w:cs="Times New Roman"/>
          <w:color w:val="000000" w:themeColor="text1"/>
          <w:szCs w:val="32"/>
          <w:lang w:eastAsia="zh-CN"/>
          <w14:textFill>
            <w14:solidFill>
              <w14:schemeClr w14:val="tx1"/>
            </w14:solidFill>
          </w14:textFill>
        </w:rPr>
        <w:t>、地方志馆</w:t>
      </w:r>
      <w:r>
        <w:rPr>
          <w:rFonts w:hint="default" w:ascii="Times New Roman" w:hAnsi="Times New Roman" w:eastAsia="仿宋_GB2312" w:cs="Times New Roman"/>
          <w:color w:val="000000" w:themeColor="text1"/>
          <w:szCs w:val="32"/>
          <w14:textFill>
            <w14:solidFill>
              <w14:schemeClr w14:val="tx1"/>
            </w14:solidFill>
          </w14:textFill>
        </w:rPr>
        <w:t>等场馆建设，全力促进传统文化的传承和保护。</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5" w:name="_Toc64916068"/>
      <w:r>
        <w:rPr>
          <w:rFonts w:hint="default" w:ascii="Times New Roman" w:hAnsi="Times New Roman" w:eastAsia="楷体_GB2312" w:cs="Times New Roman"/>
          <w:color w:val="000000" w:themeColor="text1"/>
          <w14:textFill>
            <w14:solidFill>
              <w14:schemeClr w14:val="tx1"/>
            </w14:solidFill>
          </w14:textFill>
        </w:rPr>
        <w:t xml:space="preserve"> 加强文物保护利用</w:t>
      </w:r>
      <w:bookmarkEnd w:id="5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聚焦辽代上京城和辽祖州祖陵遗址申遗。持续健全人才保障和文物保护管理体系，全面完成辽上京遗址周边环境、渤海小城遗址环境和辽祖陵祖州遗址环境整治工程，实现辽上京和辽祖陵祖州两个国家级考古遗址公园挂牌运营，力争完成辽代上京城和祖陵遗址申遗战略目标。持续加大文物保护和发掘工作力度。全面完善“文物长制”责任体系建设，切实落实文物保护属地管理要求和地方各级政府主体责任。持续开展辽上京遗址考古发掘工作，建立辽上京国际考古研究基地，力争举办国家考古研修班等各类学术交流活动，深入挖掘和系统阐发文物所蕴含的文化内涵和时代价值。</w:t>
      </w:r>
    </w:p>
    <w:p>
      <w:pPr>
        <w:pStyle w:val="5"/>
        <w:pageBreakBefore w:val="0"/>
        <w:widowControl w:val="0"/>
        <w:numPr>
          <w:ilvl w:val="0"/>
          <w:numId w:val="1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6" w:name="_Toc64916069"/>
      <w:r>
        <w:rPr>
          <w:rFonts w:hint="default" w:ascii="Times New Roman" w:hAnsi="Times New Roman" w:eastAsia="楷体_GB2312" w:cs="Times New Roman"/>
          <w:color w:val="000000" w:themeColor="text1"/>
          <w14:textFill>
            <w14:solidFill>
              <w14:schemeClr w14:val="tx1"/>
            </w14:solidFill>
          </w14:textFill>
        </w:rPr>
        <w:t xml:space="preserve"> 加快发展体育事业</w:t>
      </w:r>
      <w:bookmarkEnd w:id="56"/>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广泛组织开展全民健身运动。大力发展群众健身休闲项目。打造一批具有国内乃至国际影响力的全民健身品牌项目，重点谋划打造全民健身日、辽上京国际自行车赛、“辽上京杯”国际半程马拉松赛等一批具有国内、国际影响力的全民健身品牌赛事和活动，确保每年举办健身赛事活动不少于6场，参赛人员不少于8000人次。推进基本公共体育服务设施建设，统筹建设全民健身场地设施，建设旗级体育公园，建设苏木乡镇多功能全民健身中心。推动公共体育设施免费或低收费开放，逐步对社会开放学校体育场馆等运动健身场所，公共体育设施的开放率达到100%，有条件的中小学校体育场馆开放率达到100%。构建场地设施网络，打造15分钟健身圈，到2025年，人均体育场地面积达到1.9平方米，经常参加体育锻炼人数达到全旗人口的50%以上，创建国家全民健身示范县（旗）。</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14:textFill>
            <w14:solidFill>
              <w14:schemeClr w14:val="tx1"/>
            </w14:solidFill>
          </w14:textFill>
        </w:rPr>
      </w:pPr>
      <w:bookmarkStart w:id="57" w:name="_Toc64916070"/>
      <w:r>
        <w:rPr>
          <w:rFonts w:hint="eastAsia" w:ascii="黑体" w:hAnsi="黑体" w:eastAsia="黑体" w:cs="黑体"/>
          <w:color w:val="000000" w:themeColor="text1"/>
          <w14:textFill>
            <w14:solidFill>
              <w14:schemeClr w14:val="tx1"/>
            </w14:solidFill>
          </w14:textFill>
        </w:rPr>
        <w:t xml:space="preserve"> 统筹发展和安全 坚决守牢安全发展底线</w:t>
      </w:r>
      <w:bookmarkEnd w:id="57"/>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坚持总体国家安全观，牢固树立安全发展理念，把安全发展贯穿于发展的各领域和全过程，注重防范化解重大风险，确保人民安居乐业、社会安定有序。</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5"/>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58" w:name="_Toc64916071"/>
      <w:r>
        <w:rPr>
          <w:rFonts w:hint="default" w:ascii="Times New Roman" w:hAnsi="Times New Roman" w:eastAsia="楷体_GB2312" w:cs="Times New Roman"/>
          <w:color w:val="000000" w:themeColor="text1"/>
          <w14:textFill>
            <w14:solidFill>
              <w14:schemeClr w14:val="tx1"/>
            </w14:solidFill>
          </w14:textFill>
        </w:rPr>
        <w:t xml:space="preserve"> 坚决维护政治安全</w:t>
      </w:r>
      <w:bookmarkEnd w:id="58"/>
    </w:p>
    <w:p>
      <w:pPr>
        <w:numPr>
          <w:ilvl w:val="0"/>
          <w:numId w:val="0"/>
        </w:numPr>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把坚定维护国家政权安全和制度安全放在第一位，深入抓好政治安全风险隐患排查化解，密切掌握快速处置网上网下各类扰乱破坏活动线索，持续加强重点人员、重点部位、重点阵地管控稳控，严密防范和严厉打击敌对势力渗透、破坏、颠覆、分裂活动，扎实开展反邪教斗争，依法处置非法宗教活动。严格落实意识形态工作责任制，不断加强思想文化阵地建设和管理，逐步构建起全媒体传播、内外宣联动的主流舆论格局。全面加强网络安全保障体系和能力建设，不断提升网信技术支撑能力，建立完善网络综合治理体系，坚决防范化解网络意识形态领域风险挑战，严厉打击网络违法犯罪活动，妥善处置网上涉警涉稳舆情信息，营造清新、正面的网络空间。广泛开展国家安全宣传教育，巩固国家安全防线。</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59" w:name="_Toc64916072"/>
      <w:r>
        <w:rPr>
          <w:rFonts w:hint="default" w:ascii="Times New Roman" w:hAnsi="Times New Roman" w:eastAsia="楷体_GB2312" w:cs="Times New Roman"/>
          <w:color w:val="000000" w:themeColor="text1"/>
          <w14:textFill>
            <w14:solidFill>
              <w14:schemeClr w14:val="tx1"/>
            </w14:solidFill>
          </w14:textFill>
        </w:rPr>
        <w:t xml:space="preserve"> 防范化解重大风险</w:t>
      </w:r>
      <w:bookmarkEnd w:id="59"/>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健全应急保障管理体系。强化应急管理装备技术支撑，加快应急平台系统和应急避难场所建设，完善应急物资保障系统，推进应急物资储备和管理，优化整合各类科技资源，依靠科技提高应急管理的科学化、专业化、智能化、精细化水平。全面梳理完善各行业各领域应急处置预案，构建统一指挥、专常兼备、反应灵敏、上下联动的应急管理体制，加强应急指挥体系建设。完善应急预案体系并强化应急演练，推进应急救援队伍体系建设，不断增强应急实战能力。加快推进人防工程建设任务，完成以收代建项目人防工程的补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强突发公共卫生事件处置。重点加强突发公共卫生事件应急体系、疾病预防控制体系、卫生执法监督体系、医疗救治体系、妇幼保健体系和健康教育体系等公共卫生体系建设，提高应对突发公共卫生事件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强金融重大风险防控。完善金融监管体系，加大非法集资活动打击力度，坚决守住不发生区域性、系统性金融风险底线。健全政府债务管理制度，坚决遏制隐性债务增量，有效防范化解政府债务风险。严厉打击恶意逃废债、非法集资等违法行为。认真落实监管责任，积极营造扶优限劣的金融业态发展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决维护粮食安全。严格落实粮食安全旗长责任制，切实承担起保障本地区粮食安全的主体责任，稳定发展粮食生产，巩固和提高粮食生产能力；落实和完善粮食扶持政策，抓好粮食收购，保护农民种粮积极性；管好地方粮食储备，确保储备粮数量充足、结构合理、质量良好、调用高效；实施粮食收储供应安全保障工程，加强粮食流通能力建设，全力加强粮食生产、储备和流通能力建设，增强粮食安全保障能力。建立健全公共安全隐患排查和安全预防控制体系，全面提高公共安全保障能力。</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0" w:name="_Toc64916073"/>
      <w:r>
        <w:rPr>
          <w:rFonts w:hint="default" w:ascii="Times New Roman" w:hAnsi="Times New Roman" w:eastAsia="楷体_GB2312" w:cs="Times New Roman"/>
          <w:color w:val="000000" w:themeColor="text1"/>
          <w14:textFill>
            <w14:solidFill>
              <w14:schemeClr w14:val="tx1"/>
            </w14:solidFill>
          </w14:textFill>
        </w:rPr>
        <w:t xml:space="preserve"> 巩固民族团结稳定大局</w:t>
      </w:r>
      <w:bookmarkEnd w:id="60"/>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决贯彻落实党的民族政策，严格执行《中华人民共和国民族区域自治法》《内蒙古自治区促进民族团结进步条例》，牢牢把握各民族共同团结奋斗、共同繁荣发展的主题，以铸牢中华民族共同体意识为主线，提升民族工作水平，纠正民族工作偏差，推动民族工作向纵深发展。常态化开展中华民族共同体意识教育，系统纳入国民教育、干部教育、青少年教育，多维推进历史教育、文化引领、法治宣传，让守望相助理念和“三个离不开”、“五个认同”思想在各族人民心中深深扎根。坚定不移推广普及国家通用语言文字，积极稳妥推行国家统编教材使用，确保少数民族学生掌握和使用国家通用语言文字，尊重和支持少数民族学习和使用本民族语言文字。坚持用文化浸润民族团结，办好民族传统体育盛会，实施少数民族优秀文化保护传承工程，建设一批非物质文化遗产展示传承基地和少数民族特色</w:t>
      </w:r>
      <w:r>
        <w:rPr>
          <w:rFonts w:hint="eastAsia" w:ascii="Times New Roman" w:hAnsi="Times New Roman" w:eastAsia="仿宋_GB2312" w:cs="Times New Roman"/>
          <w:color w:val="000000" w:themeColor="text1"/>
          <w:szCs w:val="32"/>
          <w:lang w:eastAsia="zh-CN"/>
          <w14:textFill>
            <w14:solidFill>
              <w14:schemeClr w14:val="tx1"/>
            </w14:solidFill>
          </w14:textFill>
        </w:rPr>
        <w:t>嘎查村</w:t>
      </w:r>
      <w:r>
        <w:rPr>
          <w:rFonts w:hint="default" w:ascii="Times New Roman" w:hAnsi="Times New Roman" w:eastAsia="仿宋_GB2312" w:cs="Times New Roman"/>
          <w:color w:val="000000" w:themeColor="text1"/>
          <w:szCs w:val="32"/>
          <w14:textFill>
            <w14:solidFill>
              <w14:schemeClr w14:val="tx1"/>
            </w14:solidFill>
          </w14:textFill>
        </w:rPr>
        <w:t>。巩固深化全区民族团结进步示范旗创建成果，建立健全民委委员制度、共建共创机制，创新方式和载体，推动创建工作由创建模式向示范模式转变。持续推进巴林左旗牧区现代化试点工作，在保持土地草牧场承包关系稳定并长久不变的基础上，围绕生态保护和牧业振兴双赢，强力推进牧业供给侧结构性改革，加大牧区基础设施建设，持续改善生态环境，持续增加牧民收入，走出一条符合农牧交错带牧区现代化发展的新路子。加强各民族交往交流交融，巩固发展平等团结互助和谐的社会主义民族关系，全力维护全旗民族团结和社会和谐稳定，全面提高民族事务治理能力和水平，争创全国民族团结进步示范旗。</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1" w:name="_Toc64916074"/>
      <w:r>
        <w:rPr>
          <w:rFonts w:hint="default" w:ascii="Times New Roman" w:hAnsi="Times New Roman" w:eastAsia="楷体_GB2312" w:cs="Times New Roman"/>
          <w:color w:val="000000" w:themeColor="text1"/>
          <w14:textFill>
            <w14:solidFill>
              <w14:schemeClr w14:val="tx1"/>
            </w14:solidFill>
          </w14:textFill>
        </w:rPr>
        <w:t xml:space="preserve"> 维护社会安全稳定</w:t>
      </w:r>
      <w:bookmarkEnd w:id="61"/>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持续完善新时期化解社会矛盾纠纷有效机制。认真学习借鉴新时代枫桥经验，健全人民调解组织网络，推进调解力量进网格，充分发挥综治中心作用，完善人民调解与行政调解、司法调解衔接机制，形成政府治理同社会调节、居民自治良性互动的社会治理体系。深入开展矛盾纠纷排查化解，加强分析研判和网络舆情管控，着力解决民生领域重点信访问题，严格落实信访工作责任制。推行领导干部特别是旗领导干部定期下基层接访制度，积极化解信访案件，努力将矛盾化解在基层。全面推行重大社会决策、重大工程项目社会稳定风险评估，完善公共政策的社会公示制度、公众听证制度和专家咨询论证制度。拓宽社情民意表达渠道，建立畅通有序的群众诉求表达机制。高质量推进公平竞争审查，</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打造</w:t>
      </w:r>
      <w:r>
        <w:rPr>
          <w:rFonts w:hint="default" w:ascii="Times New Roman" w:hAnsi="Times New Roman" w:eastAsia="仿宋_GB2312" w:cs="Times New Roman"/>
          <w:color w:val="000000" w:themeColor="text1"/>
          <w:szCs w:val="32"/>
          <w14:textFill>
            <w14:solidFill>
              <w14:schemeClr w14:val="tx1"/>
            </w14:solidFill>
          </w14:textFill>
        </w:rPr>
        <w:t>统一开放、竞争有序的市场体系。常态化、规范化、制度化开展扫黑除恶工作，扎实开展“六建”工作，深入推进扫黑除恶长效治理，严密防范和依法打击恐怖暴力、黑恶势力、新型网络犯罪等各类违法犯罪活动，坚持打早打小、露头就打，全面提升精准打击效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5"/>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2" w:name="_Toc64916075"/>
      <w:r>
        <w:rPr>
          <w:rFonts w:hint="default" w:ascii="Times New Roman" w:hAnsi="Times New Roman" w:eastAsia="楷体_GB2312" w:cs="Times New Roman"/>
          <w:color w:val="000000" w:themeColor="text1"/>
          <w14:textFill>
            <w14:solidFill>
              <w14:schemeClr w14:val="tx1"/>
            </w14:solidFill>
          </w14:textFill>
        </w:rPr>
        <w:t xml:space="preserve"> 确保人民生命财产安全</w:t>
      </w:r>
      <w:bookmarkEnd w:id="62"/>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完善自然灾害综合监测预警机制，加强三防应急体系建设；建立健全灾害救助平台，完善自然灾害应急救助体系建设。常态化做好旱灾、洪灾、雪灾、沙尘暴、地震、地质、森林草原火灾、病虫鼠害、野生动物疫病等灾害防治，增强防灾减灾能力，构建政府主导、多元联动、协同配合、有序参与的防灾减灾新格局，建设高科技的草原固定监测点3个，完善森林草原防火基础设施建设，提升灾害风险防控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保障食品药品安全。全面落实食品药品安全战略，实施食品安全检验检测能力建设和智慧市场监管综合执法监管平台建设等工程，建立健全食品药品、医疗器械、特种设备等重点产品来源可查、去向可追、责任可究的追溯体系。完善农畜产品质量安全监管体系，确保群众“舌尖上的安全”。提高食品药品安全保障水平，深入开展食品药品安全专项整治，坚守生命安全红线和健康底线。健全严密高效的食品药品质量安全治理体系，严格食品安全标准，规范药品研制、生产、流通和使用，加大农村牧区食品药品安全治理力度，完善对网络销售食品药品的监管体系，保障食品药品安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强化安全生产管理。完善和落实安全生产责任制，防范化解安全生产风险，完善安全隐患排查和安全预防控制体系，推进“智慧应急与安全生产”平台建设，加强对矿山、危险化学品、工贸、交通、建筑、校园、医院和旅游景区等行业的安全监管。全面落实各行业安全生产法规和标准，加强安全生产监管力度，压实企业主体责任、行业部门监管责任和属地管理责任，加大对公共安全监管防控力度，有效防范和坚决遏制重特大安全事故发生。</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4"/>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bookmarkStart w:id="63" w:name="_Toc64916076"/>
      <w:r>
        <w:rPr>
          <w:rFonts w:hint="default" w:ascii="Times New Roman" w:hAnsi="Times New Roman" w:eastAsia="黑体" w:cs="Times New Roman"/>
          <w:color w:val="000000" w:themeColor="text1"/>
          <w14:textFill>
            <w14:solidFill>
              <w14:schemeClr w14:val="tx1"/>
            </w14:solidFill>
          </w14:textFill>
        </w:rPr>
        <w:t xml:space="preserve"> 加强党的集中统一领导 全力保障规划实施</w:t>
      </w:r>
      <w:bookmarkEnd w:id="63"/>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发挥地方党委总揽全局协调各方的领导核心作用，全面落实新时代党的建设总要求，调动一切积极因素，团结一切可以团结的力量，为实现“十四五”规划和2035年远景目标提供坚强的政治保障。</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p>
    <w:p>
      <w:pPr>
        <w:pStyle w:val="5"/>
        <w:pageBreakBefore w:val="0"/>
        <w:widowControl w:val="0"/>
        <w:numPr>
          <w:ilvl w:val="0"/>
          <w:numId w:val="16"/>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000000" w:themeColor="text1"/>
          <w14:textFill>
            <w14:solidFill>
              <w14:schemeClr w14:val="tx1"/>
            </w14:solidFill>
          </w14:textFill>
        </w:rPr>
      </w:pPr>
      <w:bookmarkStart w:id="64" w:name="_Toc64916077"/>
      <w:r>
        <w:rPr>
          <w:rFonts w:hint="default" w:ascii="Times New Roman" w:hAnsi="Times New Roman" w:eastAsia="楷体_GB2312" w:cs="Times New Roman"/>
          <w:color w:val="000000" w:themeColor="text1"/>
          <w14:textFill>
            <w14:solidFill>
              <w14:schemeClr w14:val="tx1"/>
            </w14:solidFill>
          </w14:textFill>
        </w:rPr>
        <w:t xml:space="preserve"> 坚持党的全面领导</w:t>
      </w:r>
      <w:bookmarkEnd w:id="64"/>
    </w:p>
    <w:p>
      <w:pPr>
        <w:numPr>
          <w:ilvl w:val="0"/>
          <w:numId w:val="0"/>
        </w:numPr>
        <w:rPr>
          <w:rFonts w:hint="default" w:ascii="Times New Roman" w:hAnsi="Times New Roman" w:cs="Times New Roman"/>
          <w:color w:val="000000" w:themeColor="text1"/>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bidi="ar-SA"/>
          <w14:textFill>
            <w14:solidFill>
              <w14:schemeClr w14:val="tx1"/>
            </w14:solidFill>
          </w14:textFill>
        </w:rPr>
        <w:t>推动各级党组织和广大党员深入贯彻落实习近平新时代中国特色社会主义思想和习近平总书记对内蒙古重要讲话重要指示批示精神，切实增强“四个意识”、坚定“四个自信”、做到“两个维护”，确保党中央决策部署落地落实。推进“不忘初心、牢记使命”主题教育常态化长效化，教育引导广大党员坚定理想信念。落实新时代党的组织路线，深入推进党建融合发展，充分发挥基层党组织战斗堡垒作用和党员先锋模范作用。加大年轻干部培养使用力度，坚持选优配强领导班子，提高各级领导干部贯彻新发展理念、完成新发展任务的能力水平。</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5"/>
        <w:pageBreakBefore w:val="0"/>
        <w:widowControl w:val="0"/>
        <w:numPr>
          <w:ilvl w:val="0"/>
          <w:numId w:val="1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5" w:name="_Toc64916078"/>
      <w:r>
        <w:rPr>
          <w:rFonts w:hint="default" w:ascii="Times New Roman" w:hAnsi="Times New Roman" w:eastAsia="楷体_GB2312" w:cs="Times New Roman"/>
          <w:color w:val="000000" w:themeColor="text1"/>
          <w14:textFill>
            <w14:solidFill>
              <w14:schemeClr w14:val="tx1"/>
            </w14:solidFill>
          </w14:textFill>
        </w:rPr>
        <w:t xml:space="preserve"> 深化党风廉政建设和反腐败斗争</w:t>
      </w:r>
      <w:bookmarkEnd w:id="65"/>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bidi="ar-SA"/>
          <w14:textFill>
            <w14:solidFill>
              <w14:schemeClr w14:val="tx1"/>
            </w14:solidFill>
          </w14:textFill>
        </w:rPr>
        <w:t>坚持自我净化、自我完善、自我革新、自我提高，不断纯洁党的队伍。持续整治“四风”问题，巩固拓展落实中央八项规定精神成果。不断深化党风廉政宣传教育，加快推进源头防腐。坚</w:t>
      </w:r>
      <w:r>
        <w:rPr>
          <w:rFonts w:hint="default" w:ascii="Times New Roman" w:hAnsi="Times New Roman" w:eastAsia="仿宋_GB2312" w:cs="Times New Roman"/>
          <w:color w:val="000000" w:themeColor="text1"/>
          <w:spacing w:val="-6"/>
          <w:sz w:val="32"/>
          <w:szCs w:val="32"/>
          <w:lang w:val="en-US" w:bidi="ar-SA"/>
          <w14:textFill>
            <w14:solidFill>
              <w14:schemeClr w14:val="tx1"/>
            </w14:solidFill>
          </w14:textFill>
        </w:rPr>
        <w:t>持运用法治思维和法治方式开展廉政建设和反腐败斗争，切实加强党员干部作风建设。建立健全决策权、执行权、监督权既相互制约又相互协调的权利结构和运行机制。积极推进政务公开标准化，加强政治监督，持之以恒正风肃纪，一体推进不敢腐、不能腐、不想腐，营造干部清正、政府清廉、政治清明的良好政治生态。</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5"/>
        <w:pageBreakBefore w:val="0"/>
        <w:widowControl w:val="0"/>
        <w:numPr>
          <w:ilvl w:val="0"/>
          <w:numId w:val="1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6" w:name="_Toc64916079"/>
      <w:r>
        <w:rPr>
          <w:rFonts w:hint="default" w:ascii="Times New Roman" w:hAnsi="Times New Roman" w:eastAsia="楷体_GB2312" w:cs="Times New Roman"/>
          <w:color w:val="000000" w:themeColor="text1"/>
          <w14:textFill>
            <w14:solidFill>
              <w14:schemeClr w14:val="tx1"/>
            </w14:solidFill>
          </w14:textFill>
        </w:rPr>
        <w:t xml:space="preserve"> 不断加强法治左旗建设</w:t>
      </w:r>
      <w:bookmarkEnd w:id="66"/>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坚持党对政法工作的绝对领导，加快形成完备的制度规范体系、高效的法治实施体系、严密的法治监督体系、有力的法治保障体系，统筹推进严格执法、公正司法、全民守法进程，加快推进法治左旗建设。加快完善政府职能体系，创新行政管理方式，深化综合行政执法体制改革，提高行政决策法治化水平，加强行政执法监督工作，不断提升政府公信力。深入开展“八五”普法和依法治理工作，将宣传落实民法典作为“十四五”时期普法工作的重点，纳入“八五”普法规划，做到宣传内容为群众所需、宣传方式为群众所喜、宣传成果为群众所用，真正把法治精神融入群众日常生活，提升普法的实效性和实用性，切实推动普法从有形覆盖向有效覆盖转变，切实提高全社会法治意识。建立完善旗乡村三级平安建设。整合苏木乡镇平安办、公安派出所、人民法庭、司法所等基层力量，推进基层服务和管理精细化，提高基层社会治理水平。创新升级社会治安防控体系。依托“雪亮工程”建设，实现全旗所有小区进出口、主次干道、重点区域、治安卡口等视频监控覆盖率100％，运行率100％。健全和完善群防群治工作机制，围绕防事故保安全，深入开展公共安全隐患专项治理行动，进一步提高社会治安综合治理能力。</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1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7" w:name="_Toc64916080"/>
      <w:r>
        <w:rPr>
          <w:rFonts w:hint="default" w:ascii="Times New Roman" w:hAnsi="Times New Roman" w:eastAsia="楷体_GB2312" w:cs="Times New Roman"/>
          <w:color w:val="000000" w:themeColor="text1"/>
          <w14:textFill>
            <w14:solidFill>
              <w14:schemeClr w14:val="tx1"/>
            </w14:solidFill>
          </w14:textFill>
        </w:rPr>
        <w:t xml:space="preserve"> 全面推进社会主义政治建设</w:t>
      </w:r>
      <w:bookmarkEnd w:id="67"/>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支持和保障人大及其常委会依法行使职权，加强人大对“一府一委两院”的监督，保障人民依法通过各种途径和形式管理国家事务、管理经济文化事业、管理社会事务。坚持</w:t>
      </w:r>
      <w:r>
        <w:rPr>
          <w:rFonts w:hint="eastAsia" w:ascii="Times New Roman" w:hAnsi="Times New Roman" w:eastAsia="仿宋_GB2312" w:cs="Times New Roman"/>
          <w:color w:val="000000" w:themeColor="text1"/>
          <w:spacing w:val="-6"/>
          <w:szCs w:val="32"/>
          <w:lang w:eastAsia="zh-CN"/>
          <w14:textFill>
            <w14:solidFill>
              <w14:schemeClr w14:val="tx1"/>
            </w14:solidFill>
          </w14:textFill>
        </w:rPr>
        <w:t>中国共产党领导的</w:t>
      </w:r>
      <w:r>
        <w:rPr>
          <w:rFonts w:hint="default" w:ascii="Times New Roman" w:hAnsi="Times New Roman" w:eastAsia="仿宋_GB2312" w:cs="Times New Roman"/>
          <w:color w:val="000000" w:themeColor="text1"/>
          <w:spacing w:val="-6"/>
          <w:szCs w:val="32"/>
          <w14:textFill>
            <w14:solidFill>
              <w14:schemeClr w14:val="tx1"/>
            </w14:solidFill>
          </w14:textFill>
        </w:rPr>
        <w:t>多党合作和政治协商制度，支持人民政协充分发挥专门协商机构作用，不断加强思想政治引领，广泛凝聚共识，积极开展协商议政。完善大统战工作格局，促进政党关系、民族关系、宗教关系和谐，依法加强宗教事务管理。发挥群团组织联系群众的桥梁纽带作用，不断加大政治动员、政治引领、政治教育工作力度，带领各界群众最广泛最紧密地团结在以习近平同志为核心的党中央周围。</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lang w:val="en-US" w:bidi="ar-SA"/>
          <w14:textFill>
            <w14:solidFill>
              <w14:schemeClr w14:val="tx1"/>
            </w14:solidFill>
          </w14:textFill>
        </w:rPr>
      </w:pPr>
    </w:p>
    <w:p>
      <w:pPr>
        <w:pStyle w:val="5"/>
        <w:pageBreakBefore w:val="0"/>
        <w:widowControl w:val="0"/>
        <w:numPr>
          <w:ilvl w:val="0"/>
          <w:numId w:val="16"/>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color w:val="000000" w:themeColor="text1"/>
          <w14:textFill>
            <w14:solidFill>
              <w14:schemeClr w14:val="tx1"/>
            </w14:solidFill>
          </w14:textFill>
        </w:rPr>
      </w:pPr>
      <w:bookmarkStart w:id="68" w:name="_Toc64916081"/>
      <w:r>
        <w:rPr>
          <w:rFonts w:hint="default" w:ascii="Times New Roman" w:hAnsi="Times New Roman" w:eastAsia="楷体_GB2312" w:cs="Times New Roman"/>
          <w:color w:val="000000" w:themeColor="text1"/>
          <w14:textFill>
            <w14:solidFill>
              <w14:schemeClr w14:val="tx1"/>
            </w14:solidFill>
          </w14:textFill>
        </w:rPr>
        <w:t xml:space="preserve"> 切实加强规划实施管理</w:t>
      </w:r>
      <w:bookmarkEnd w:id="68"/>
    </w:p>
    <w:p>
      <w:pPr>
        <w:numPr>
          <w:ilvl w:val="0"/>
          <w:numId w:val="0"/>
        </w:numPr>
        <w:ind w:leftChars="0"/>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本纲要是统领未来五年全旗经济社会发展的宏伟蓝图，为了确保本规划目标任务如期完成，必须建立健全规划实施和管理机制，加强各级各类规划的有机衔接，提高规划的权威性、指导性和操作性。</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明确规划实施责任。依据规划提出的目标任务，确定实施主体及责任，建立分类实施机制。约束性指标是各级政府应当履行的</w:t>
      </w:r>
      <w:r>
        <w:rPr>
          <w:rFonts w:hint="default" w:ascii="Times New Roman" w:hAnsi="Times New Roman" w:eastAsia="仿宋_GB2312" w:cs="Times New Roman"/>
          <w:color w:val="000000" w:themeColor="text1"/>
          <w:spacing w:val="-6"/>
          <w:szCs w:val="32"/>
          <w14:textFill>
            <w14:solidFill>
              <w14:schemeClr w14:val="tx1"/>
            </w14:solidFill>
          </w14:textFill>
        </w:rPr>
        <w:t>重要职责，必须科学分解落实到各苏木乡镇</w:t>
      </w:r>
      <w:r>
        <w:rPr>
          <w:rFonts w:hint="eastAsia" w:ascii="Times New Roman" w:hAnsi="Times New Roman" w:eastAsia="仿宋_GB2312" w:cs="Times New Roman"/>
          <w:color w:val="000000" w:themeColor="text1"/>
          <w:spacing w:val="-6"/>
          <w:szCs w:val="32"/>
          <w:lang w:eastAsia="zh-CN"/>
          <w14:textFill>
            <w14:solidFill>
              <w14:schemeClr w14:val="tx1"/>
            </w14:solidFill>
          </w14:textFill>
        </w:rPr>
        <w:t>（街道）</w:t>
      </w:r>
      <w:r>
        <w:rPr>
          <w:rFonts w:hint="default" w:ascii="Times New Roman" w:hAnsi="Times New Roman" w:eastAsia="仿宋_GB2312" w:cs="Times New Roman"/>
          <w:color w:val="000000" w:themeColor="text1"/>
          <w:spacing w:val="-6"/>
          <w:szCs w:val="32"/>
          <w14:textFill>
            <w14:solidFill>
              <w14:schemeClr w14:val="tx1"/>
            </w14:solidFill>
          </w14:textFill>
        </w:rPr>
        <w:t>和有关部门，明确工作责任和进度，确保如期完成。预期性目标主要依靠市场主体的自主行为实现，各级政府通过完善市场机制和利益导向机制，为完成规划预期性目标营造良好的政策环境、体制环境和法</w:t>
      </w:r>
      <w:r>
        <w:rPr>
          <w:rFonts w:hint="eastAsia" w:ascii="Times New Roman" w:hAnsi="Times New Roman" w:eastAsia="仿宋_GB2312" w:cs="Times New Roman"/>
          <w:color w:val="000000" w:themeColor="text1"/>
          <w:spacing w:val="-6"/>
          <w:szCs w:val="32"/>
          <w:lang w:eastAsia="zh-CN"/>
          <w14:textFill>
            <w14:solidFill>
              <w14:schemeClr w14:val="tx1"/>
            </w14:solidFill>
          </w14:textFill>
        </w:rPr>
        <w:t>治</w:t>
      </w:r>
      <w:r>
        <w:rPr>
          <w:rFonts w:hint="default" w:ascii="Times New Roman" w:hAnsi="Times New Roman" w:eastAsia="仿宋_GB2312" w:cs="Times New Roman"/>
          <w:color w:val="000000" w:themeColor="text1"/>
          <w:spacing w:val="-6"/>
          <w:szCs w:val="32"/>
          <w14:textFill>
            <w14:solidFill>
              <w14:schemeClr w14:val="tx1"/>
            </w14:solidFill>
          </w14:textFill>
        </w:rPr>
        <w:t>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做好规划衔接管理。本规划是统领全旗经济社会发展全局的总体规划，是编制全旗专项规划、区域规划、乡镇规划及年度计划的重要依据。专项规划服从总体规划的要求，专项规划和区域规划必须在发展目标、空间布局、重大项目建设等方面与本规划进行衔接。坚持以规划为统领，形成定位准确、目标清晰、功能互补、统一衔接的规划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加强规划评估监督。强化对实施情况的跟踪分析，完善规划实施监测评估机制，落实规划目标任务，自觉接受各方面的监督，形成共同推进规划实施的强大合力。在规划实施中期阶段，对规划实施进行全面评估，并根据需要进行调整。加强监督检查，充分发挥监察、审计等机关监督和新闻媒体、群众社团等社会监督的作用，建立健全规划实施和管理机制。</w:t>
      </w:r>
    </w:p>
    <w:p>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Cs w:val="32"/>
          <w14:textFill>
            <w14:solidFill>
              <w14:schemeClr w14:val="tx1"/>
            </w14:solidFill>
          </w14:textFill>
        </w:rPr>
      </w:pPr>
      <w:r>
        <w:rPr>
          <w:rFonts w:hint="default" w:ascii="Times New Roman" w:hAnsi="Times New Roman" w:eastAsia="仿宋_GB2312" w:cs="Times New Roman"/>
          <w:color w:val="000000" w:themeColor="text1"/>
          <w:spacing w:val="-6"/>
          <w:szCs w:val="32"/>
          <w14:textFill>
            <w14:solidFill>
              <w14:schemeClr w14:val="tx1"/>
            </w14:solidFill>
          </w14:textFill>
        </w:rPr>
        <w:t>实现“十四五”规划和 2035 年远景目标，任务艰巨、责任重大、使命光荣，全旗各族人民要紧密团结在以习近平同志为核心的党中央周围，充分调动一切积极因素，广泛团结一切可以团结的力量，形成推动发展的磅礴力量，在新时代新征程书写好巴林左旗发展新篇章，为建设富强民主文明和谐美丽巴林左旗而努力奋斗！</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themeColor="text1"/>
          <w:sz w:val="30"/>
          <w:szCs w:val="30"/>
          <w14:textFill>
            <w14:solidFill>
              <w14:schemeClr w14:val="tx1"/>
            </w14:solidFill>
          </w14:textFill>
        </w:rPr>
      </w:pPr>
      <w:r>
        <w:rPr>
          <w:rFonts w:hint="default" w:ascii="Times New Roman" w:hAnsi="Times New Roman" w:eastAsia="黑体" w:cs="Times New Roman"/>
          <w:b/>
          <w:bCs/>
          <w:color w:val="000000" w:themeColor="text1"/>
          <w:sz w:val="30"/>
          <w:szCs w:val="30"/>
          <w14:textFill>
            <w14:solidFill>
              <w14:schemeClr w14:val="tx1"/>
            </w14:solidFill>
          </w14:textFill>
        </w:rPr>
        <w:t>名 词 解 释</w:t>
      </w:r>
    </w:p>
    <w:p>
      <w:pPr>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Times New Roman" w:hAnsi="Times New Roman" w:eastAsia="仿宋_GB2312" w:cs="Times New Roman"/>
          <w:b/>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“六稳”：</w:t>
      </w:r>
      <w:r>
        <w:rPr>
          <w:rFonts w:hint="default" w:ascii="Times New Roman" w:hAnsi="Times New Roman" w:eastAsia="仿宋_GB2312" w:cs="Times New Roman"/>
          <w:color w:val="000000" w:themeColor="text1"/>
          <w:sz w:val="24"/>
          <w14:textFill>
            <w14:solidFill>
              <w14:schemeClr w14:val="tx1"/>
            </w14:solidFill>
          </w14:textFill>
        </w:rPr>
        <w:t>指稳就业、稳金融、稳外贸、稳外资、稳投资、稳预期。</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“六保”：</w:t>
      </w:r>
      <w:r>
        <w:rPr>
          <w:rFonts w:hint="default" w:ascii="Times New Roman" w:hAnsi="Times New Roman" w:eastAsia="仿宋_GB2312" w:cs="Times New Roman"/>
          <w:color w:val="000000" w:themeColor="text1"/>
          <w:sz w:val="24"/>
          <w14:textFill>
            <w14:solidFill>
              <w14:schemeClr w14:val="tx1"/>
            </w14:solidFill>
          </w14:textFill>
        </w:rPr>
        <w:t>指保居民就业、保基本民生、保市场主体、保粮食能源安全、保产业链供应链稳定、保基层运转。</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“蒙”字标：</w:t>
      </w:r>
      <w:r>
        <w:rPr>
          <w:rFonts w:hint="default" w:ascii="Times New Roman" w:hAnsi="Times New Roman" w:eastAsia="仿宋_GB2312" w:cs="Times New Roman"/>
          <w:color w:val="000000" w:themeColor="text1"/>
          <w:sz w:val="24"/>
          <w14:textFill>
            <w14:solidFill>
              <w14:schemeClr w14:val="tx1"/>
            </w14:solidFill>
          </w14:textFill>
        </w:rPr>
        <w:t>指内蒙古自治区农畜产品区域公用品牌，通过“高标准+严认证+强监管+优服务”的方式，让内蒙古优质绿色农畜产品走向全国、走向世界的创新实践。</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契丹牧耕：</w:t>
      </w:r>
      <w:r>
        <w:rPr>
          <w:rFonts w:hint="default" w:ascii="Times New Roman" w:hAnsi="Times New Roman" w:eastAsia="仿宋_GB2312" w:cs="Times New Roman"/>
          <w:color w:val="000000" w:themeColor="text1"/>
          <w:sz w:val="24"/>
          <w14:textFill>
            <w14:solidFill>
              <w14:schemeClr w14:val="tx1"/>
            </w14:solidFill>
          </w14:textFill>
        </w:rPr>
        <w:t>指2019年创立的旗域公用品牌，旨在提高我旗区域文化、旅游及农畜产品的知名度和影响力。</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“3+1”医疗保障体系：</w:t>
      </w:r>
      <w:r>
        <w:rPr>
          <w:rFonts w:hint="default" w:ascii="Times New Roman" w:hAnsi="Times New Roman" w:eastAsia="仿宋_GB2312" w:cs="Times New Roman"/>
          <w:color w:val="000000" w:themeColor="text1"/>
          <w:sz w:val="24"/>
          <w14:textFill>
            <w14:solidFill>
              <w14:schemeClr w14:val="tx1"/>
            </w14:solidFill>
          </w14:textFill>
        </w:rPr>
        <w:t>3指基本医疗保险、大病保险和医疗救助；1指补充医疗保险。</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“六清”行动：</w:t>
      </w:r>
      <w:r>
        <w:rPr>
          <w:rFonts w:hint="default" w:ascii="Times New Roman" w:hAnsi="Times New Roman" w:eastAsia="仿宋_GB2312" w:cs="Times New Roman"/>
          <w:color w:val="000000" w:themeColor="text1"/>
          <w:sz w:val="24"/>
          <w14:textFill>
            <w14:solidFill>
              <w14:schemeClr w14:val="tx1"/>
            </w14:solidFill>
          </w14:textFill>
        </w:rPr>
        <w:t>指线索清仓、逃犯清零、案件清结、伞网清除、黑财清底、行业清源。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“六建”工作：</w:t>
      </w:r>
      <w:r>
        <w:rPr>
          <w:rFonts w:hint="default" w:ascii="Times New Roman" w:hAnsi="Times New Roman" w:eastAsia="仿宋_GB2312" w:cs="Times New Roman"/>
          <w:color w:val="000000" w:themeColor="text1"/>
          <w:sz w:val="24"/>
          <w14:textFill>
            <w14:solidFill>
              <w14:schemeClr w14:val="tx1"/>
            </w14:solidFill>
          </w14:textFill>
        </w:rPr>
        <w:t>指建立健全源头治理的防范整治机制，建立健全智能公开的举报奖励机制，建立健全打早打小的依法惩处机制，建立健全精准有效的督导督办机制，建立健全激励约束的考核评价机制，建立健全持续推进的组织领导机制。</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四室合一：</w:t>
      </w:r>
      <w:r>
        <w:rPr>
          <w:rFonts w:hint="default" w:ascii="Times New Roman" w:hAnsi="Times New Roman" w:eastAsia="仿宋_GB2312" w:cs="Times New Roman"/>
          <w:color w:val="000000" w:themeColor="text1"/>
          <w:sz w:val="24"/>
          <w14:textFill>
            <w14:solidFill>
              <w14:schemeClr w14:val="tx1"/>
            </w14:solidFill>
          </w14:textFill>
        </w:rPr>
        <w:t>指我旗矛盾纠纷排查化解创新模式，在嘎查村将司法人民调解室、公共法律服务室、公安警务室、法院诉前调解与网上立案室功能整合、人员集约，全面提高基层社会治理能力和水平。</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“三品一标”</w:t>
      </w:r>
      <w:r>
        <w:rPr>
          <w:rFonts w:hint="default" w:ascii="Times New Roman" w:hAnsi="Times New Roman" w:eastAsia="仿宋_GB2312" w:cs="Times New Roman"/>
          <w:color w:val="000000" w:themeColor="text1"/>
          <w:sz w:val="24"/>
          <w14:textFill>
            <w14:solidFill>
              <w14:schemeClr w14:val="tx1"/>
            </w14:solidFill>
          </w14:textFill>
        </w:rPr>
        <w:t>：指无公害农产品、绿色食品、有机农产品和农产品地理标志。</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四好农村路：</w:t>
      </w:r>
      <w:r>
        <w:rPr>
          <w:rFonts w:hint="default" w:ascii="Times New Roman" w:hAnsi="Times New Roman" w:eastAsia="仿宋_GB2312" w:cs="Times New Roman"/>
          <w:color w:val="000000" w:themeColor="text1"/>
          <w:sz w:val="24"/>
          <w14:textFill>
            <w14:solidFill>
              <w14:schemeClr w14:val="tx1"/>
            </w14:solidFill>
          </w14:textFill>
        </w:rPr>
        <w:t>指建好、管好、护好、运营好农村公路。习近平总书记指出，农村公路建设要与优化村镇布局、农村经济发展和广大农民安全便捷出行相适应，要进一步把农村公路建好、管好、护好、运营好，逐步消除制约农村发展的交通瓶颈。</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三区三线：</w:t>
      </w:r>
      <w:r>
        <w:rPr>
          <w:rFonts w:hint="default" w:ascii="Times New Roman" w:hAnsi="Times New Roman" w:eastAsia="仿宋_GB2312" w:cs="Times New Roman"/>
          <w:color w:val="000000" w:themeColor="text1"/>
          <w:sz w:val="24"/>
          <w14:textFill>
            <w14:solidFill>
              <w14:schemeClr w14:val="tx1"/>
            </w14:solidFill>
          </w14:textFill>
        </w:rPr>
        <w:t>“三区”指城镇空间、农业空间、生态空间；“三线”指生态保护红线、永久基本农田保护红线、城镇开发边界。</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三线一单：</w:t>
      </w:r>
      <w:r>
        <w:rPr>
          <w:rFonts w:hint="default" w:ascii="Times New Roman" w:hAnsi="Times New Roman" w:eastAsia="仿宋_GB2312" w:cs="Times New Roman"/>
          <w:color w:val="000000" w:themeColor="text1"/>
          <w:sz w:val="24"/>
          <w14:textFill>
            <w14:solidFill>
              <w14:schemeClr w14:val="tx1"/>
            </w14:solidFill>
          </w14:textFill>
        </w:rPr>
        <w:t>指生态保护红线、环境质量底线、资源利用上线和生态环境准入清单。</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“清四乱”：</w:t>
      </w:r>
      <w:r>
        <w:rPr>
          <w:rFonts w:hint="default" w:ascii="Times New Roman" w:hAnsi="Times New Roman" w:eastAsia="仿宋_GB2312" w:cs="Times New Roman"/>
          <w:color w:val="000000" w:themeColor="text1"/>
          <w:sz w:val="24"/>
          <w14:textFill>
            <w14:solidFill>
              <w14:schemeClr w14:val="tx1"/>
            </w14:solidFill>
          </w14:textFill>
        </w:rPr>
        <w:t>指乱占、乱采、乱堆、乱建等河湖管理保护问题。</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b/>
          <w:bCs/>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工业“五项工程”：</w:t>
      </w:r>
      <w:r>
        <w:rPr>
          <w:rFonts w:hint="default" w:ascii="Times New Roman" w:hAnsi="Times New Roman" w:eastAsia="仿宋_GB2312" w:cs="Times New Roman"/>
          <w:color w:val="000000" w:themeColor="text1"/>
          <w:sz w:val="24"/>
          <w14:textFill>
            <w14:solidFill>
              <w14:schemeClr w14:val="tx1"/>
            </w14:solidFill>
          </w14:textFill>
        </w:rPr>
        <w:t>指推动工业经济高质量发展的五项工程，包括：延链补链工程、质量提升工程、两化融合工程、绿色改造工程和园区振兴工程。</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“1+1+N”文旅产业发展模式：</w:t>
      </w:r>
      <w:r>
        <w:rPr>
          <w:rFonts w:hint="default" w:ascii="Times New Roman" w:hAnsi="Times New Roman" w:eastAsia="仿宋_GB2312" w:cs="Times New Roman"/>
          <w:color w:val="000000" w:themeColor="text1"/>
          <w:sz w:val="24"/>
          <w14:textFill>
            <w14:solidFill>
              <w14:schemeClr w14:val="tx1"/>
            </w14:solidFill>
          </w14:textFill>
        </w:rPr>
        <w:t>第一个“1”指辽韵丹风文化旅游投资有限公司，第二个“1”指契丹辽文化体验游王牌景区精品线，“N”指多个合作投资企业、多种合作运营方式。</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林长制：</w:t>
      </w:r>
      <w:r>
        <w:rPr>
          <w:rFonts w:hint="default" w:ascii="Times New Roman" w:hAnsi="Times New Roman" w:eastAsia="仿宋_GB2312" w:cs="Times New Roman"/>
          <w:color w:val="000000" w:themeColor="text1"/>
          <w:sz w:val="24"/>
          <w14:textFill>
            <w14:solidFill>
              <w14:schemeClr w14:val="tx1"/>
            </w14:solidFill>
          </w14:textFill>
        </w:rPr>
        <w:t>指按照“分级负责”原则，由各级地方党委和政府主要负责同志担任林长，其他负责同志担任副林长，构建省、市、县、乡、村各级林长体系，实行分区（片）负责，落实保护发展林草资源属地责任的制度。</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河（湖）长制：</w:t>
      </w:r>
      <w:r>
        <w:rPr>
          <w:rFonts w:hint="default" w:ascii="Times New Roman" w:hAnsi="Times New Roman" w:eastAsia="仿宋_GB2312" w:cs="Times New Roman"/>
          <w:color w:val="000000" w:themeColor="text1"/>
          <w:sz w:val="24"/>
          <w14:textFill>
            <w14:solidFill>
              <w14:schemeClr w14:val="tx1"/>
            </w14:solidFill>
          </w14:textFill>
        </w:rPr>
        <w:t>指加强河湖管理保护的一项制度创新，由地方党政领导担任河（湖）长，依法依规落实地方主体责任，协调整合各方力量，有力促进河（湖）水资源保护、水域岸线管理保护、水污染防治、水环境治理、水生态修复、水执法监督等工作。</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路长制：</w:t>
      </w:r>
      <w:r>
        <w:rPr>
          <w:rFonts w:hint="default" w:ascii="Times New Roman" w:hAnsi="Times New Roman" w:eastAsia="仿宋_GB2312" w:cs="Times New Roman"/>
          <w:color w:val="000000" w:themeColor="text1"/>
          <w:sz w:val="24"/>
          <w14:textFill>
            <w14:solidFill>
              <w14:schemeClr w14:val="tx1"/>
            </w14:solidFill>
          </w14:textFill>
        </w:rPr>
        <w:t>指加强农村公路管理保护的一项制度，由地方有关领导担任路长，依法依规落实地方主体责任，协调整合各方力量，有力促进农村公路建设、管理、养护、运营等工作。</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产城融合：</w:t>
      </w:r>
      <w:r>
        <w:rPr>
          <w:rFonts w:hint="default" w:ascii="Times New Roman" w:hAnsi="Times New Roman" w:eastAsia="仿宋_GB2312" w:cs="Times New Roman"/>
          <w:color w:val="000000" w:themeColor="text1"/>
          <w:sz w:val="24"/>
          <w14:textFill>
            <w14:solidFill>
              <w14:schemeClr w14:val="tx1"/>
            </w14:solidFill>
          </w14:textFill>
        </w:rPr>
        <w:t>指产业与城市融合发展，以城市为基础，承载产业空间和发展产业经济，以产业为保障，驱动城市更新和完善服务配套，实现产、城、人融合发展。</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新基建：</w:t>
      </w:r>
      <w:r>
        <w:rPr>
          <w:rFonts w:hint="default" w:ascii="Times New Roman" w:hAnsi="Times New Roman" w:eastAsia="仿宋_GB2312" w:cs="Times New Roman"/>
          <w:color w:val="000000" w:themeColor="text1"/>
          <w:sz w:val="24"/>
          <w14:textFill>
            <w14:solidFill>
              <w14:schemeClr w14:val="tx1"/>
            </w14:solidFill>
          </w14:textFill>
        </w:rPr>
        <w:t>指新型基础设施，主要包括5G基站建设、特高压、城际高速铁路和城市轨道交通、新能源汽车充电桩、大数据中心、人工智能、工业互联网七大领域的基础设施建设。</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两新一重：</w:t>
      </w:r>
      <w:r>
        <w:rPr>
          <w:rFonts w:hint="default" w:ascii="Times New Roman" w:hAnsi="Times New Roman" w:eastAsia="仿宋_GB2312" w:cs="Times New Roman"/>
          <w:color w:val="000000" w:themeColor="text1"/>
          <w:sz w:val="24"/>
          <w14:textFill>
            <w14:solidFill>
              <w14:schemeClr w14:val="tx1"/>
            </w14:solidFill>
          </w14:textFill>
        </w:rPr>
        <w:t>指新型基础设施、新型城镇化，以及交通、水利等重大工程。</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“放管服”：</w:t>
      </w:r>
      <w:r>
        <w:rPr>
          <w:rFonts w:hint="default" w:ascii="Times New Roman" w:hAnsi="Times New Roman" w:eastAsia="仿宋_GB2312" w:cs="Times New Roman"/>
          <w:color w:val="000000" w:themeColor="text1"/>
          <w:sz w:val="24"/>
          <w14:textFill>
            <w14:solidFill>
              <w14:schemeClr w14:val="tx1"/>
            </w14:solidFill>
          </w14:textFill>
        </w:rPr>
        <w:t>指简政放权、放管结合、优化服务的简称。</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双随机、一公开：</w:t>
      </w:r>
      <w:r>
        <w:rPr>
          <w:rFonts w:hint="default" w:ascii="Times New Roman" w:hAnsi="Times New Roman" w:eastAsia="仿宋_GB2312" w:cs="Times New Roman"/>
          <w:color w:val="000000" w:themeColor="text1"/>
          <w:sz w:val="24"/>
          <w14:textFill>
            <w14:solidFill>
              <w14:schemeClr w14:val="tx1"/>
            </w14:solidFill>
          </w14:textFill>
        </w:rPr>
        <w:t>指随机抽取检查对象，随机选派执法检查人员，抽查情况及查处结果及时向社会公开。</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b/>
          <w:bCs/>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三权分置：</w:t>
      </w:r>
      <w:r>
        <w:rPr>
          <w:rFonts w:hint="default" w:ascii="Times New Roman" w:hAnsi="Times New Roman" w:eastAsia="仿宋_GB2312" w:cs="Times New Roman"/>
          <w:color w:val="000000" w:themeColor="text1"/>
          <w:sz w:val="24"/>
          <w14:textFill>
            <w14:solidFill>
              <w14:schemeClr w14:val="tx1"/>
            </w14:solidFill>
          </w14:textFill>
        </w:rPr>
        <w:t>指农村宅基地集体所有权、农户资格权、宅基地及农房使用权“三权分置”。</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多证合一：</w:t>
      </w:r>
      <w:r>
        <w:rPr>
          <w:rFonts w:hint="default" w:ascii="Times New Roman" w:hAnsi="Times New Roman" w:eastAsia="仿宋_GB2312" w:cs="Times New Roman"/>
          <w:color w:val="000000" w:themeColor="text1"/>
          <w:sz w:val="24"/>
          <w14:textFill>
            <w14:solidFill>
              <w14:schemeClr w14:val="tx1"/>
            </w14:solidFill>
          </w14:textFill>
        </w:rPr>
        <w:t>指在全面实施工商营业执照、组织机构代码证、税务登记证“三证合一”登记制度改革的基础上，进一步整合社会保险登记证、统计登记证等相关多个证照，由市场监管部门统一核发一个营业执照。</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一网通办：</w:t>
      </w:r>
      <w:r>
        <w:rPr>
          <w:rFonts w:hint="default" w:ascii="Times New Roman" w:hAnsi="Times New Roman" w:eastAsia="仿宋_GB2312" w:cs="Times New Roman"/>
          <w:color w:val="000000" w:themeColor="text1"/>
          <w:sz w:val="24"/>
          <w14:textFill>
            <w14:solidFill>
              <w14:schemeClr w14:val="tx1"/>
            </w14:solidFill>
          </w14:textFill>
        </w:rPr>
        <w:t>指依托一体化在线政务服务平台，通过规范网上办事标准、优化网上办事流程、搭建统一的互联网政务服务总门户等措施，推行政务服务事项网上办理，推动企业群众办事线上只登录一次即可办理完成。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四个不摘：</w:t>
      </w:r>
      <w:r>
        <w:rPr>
          <w:rFonts w:hint="default" w:ascii="Times New Roman" w:hAnsi="Times New Roman" w:eastAsia="仿宋_GB2312" w:cs="Times New Roman"/>
          <w:color w:val="000000" w:themeColor="text1"/>
          <w:sz w:val="24"/>
          <w14:textFill>
            <w14:solidFill>
              <w14:schemeClr w14:val="tx1"/>
            </w14:solidFill>
          </w14:textFill>
        </w:rPr>
        <w:t>指不摘责任、不摘政策、不摘帮扶、不摘监管。</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雪亮工程：</w:t>
      </w:r>
      <w:r>
        <w:rPr>
          <w:rFonts w:hint="default" w:ascii="Times New Roman" w:hAnsi="Times New Roman" w:eastAsia="仿宋_GB2312" w:cs="Times New Roman"/>
          <w:color w:val="000000" w:themeColor="text1"/>
          <w:sz w:val="24"/>
          <w14:textFill>
            <w14:solidFill>
              <w14:schemeClr w14:val="tx1"/>
            </w14:solidFill>
          </w14:textFill>
        </w:rPr>
        <w:t>指以各级综治中心为指挥平台、以信息化为支撑、以网格化管理为基础、以公共安全视频监控联网应用为重点的“社会治安防控工程”，对创新社会治理手段、提升共建共治共享水平、升级社会治安防控体系等方面具有十分重要的意义。</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14:textFill>
            <w14:solidFill>
              <w14:schemeClr w14:val="tx1"/>
            </w14:solidFill>
          </w14:textFill>
        </w:rPr>
      </w:pPr>
    </w:p>
    <w:bookmarkEnd w:id="69"/>
    <w:sectPr>
      <w:footerReference r:id="rId4" w:type="default"/>
      <w:pgSz w:w="11906" w:h="16838"/>
      <w:pgMar w:top="1984" w:right="1418" w:bottom="1701" w:left="1418" w:header="851" w:footer="96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2040204020203"/>
    <w:charset w:val="86"/>
    <w:family w:val="auto"/>
    <w:pitch w:val="default"/>
    <w:sig w:usb0="A00002BF" w:usb1="2ACF7CFB" w:usb2="00000016" w:usb3="00000000" w:csb0="2004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szCs w:val="28"/>
      </w:rP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4"/>
                              <w:szCs w:val="24"/>
                            </w:rPr>
                            <w:id w:val="-1850098757"/>
                          </w:sdtPr>
                          <w:sdtEndPr>
                            <w:rPr>
                              <w:rFonts w:hint="eastAsia" w:ascii="宋体" w:hAnsi="宋体" w:eastAsia="宋体" w:cs="宋体"/>
                              <w:sz w:val="24"/>
                              <w:szCs w:val="24"/>
                            </w:rPr>
                          </w:sdtEndPr>
                          <w:sdtContent>
                            <w:p>
                              <w:pPr>
                                <w:pStyle w:val="9"/>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92</w:t>
                              </w:r>
                              <w:r>
                                <w:rPr>
                                  <w:rFonts w:hint="eastAsia" w:ascii="宋体" w:hAnsi="宋体" w:eastAsia="宋体" w:cs="宋体"/>
                                  <w:sz w:val="24"/>
                                  <w:szCs w:val="24"/>
                                </w:rPr>
                                <w:fldChar w:fldCharType="end"/>
                              </w:r>
                            </w:p>
                          </w:sdtContent>
                        </w:sdt>
                        <w:p>
                          <w:pPr>
                            <w:pStyle w:val="2"/>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4"/>
                        <w:szCs w:val="24"/>
                      </w:rPr>
                      <w:id w:val="-1850098757"/>
                    </w:sdtPr>
                    <w:sdtEndPr>
                      <w:rPr>
                        <w:rFonts w:hint="eastAsia" w:ascii="宋体" w:hAnsi="宋体" w:eastAsia="宋体" w:cs="宋体"/>
                        <w:sz w:val="24"/>
                        <w:szCs w:val="24"/>
                      </w:rPr>
                    </w:sdtEndPr>
                    <w:sdtContent>
                      <w:p>
                        <w:pPr>
                          <w:pStyle w:val="9"/>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92</w:t>
                        </w:r>
                        <w:r>
                          <w:rPr>
                            <w:rFonts w:hint="eastAsia" w:ascii="宋体" w:hAnsi="宋体" w:eastAsia="宋体" w:cs="宋体"/>
                            <w:sz w:val="24"/>
                            <w:szCs w:val="24"/>
                          </w:rPr>
                          <w:fldChar w:fldCharType="end"/>
                        </w:r>
                      </w:p>
                    </w:sdtContent>
                  </w:sdt>
                  <w:p>
                    <w:pPr>
                      <w:pStyle w:val="2"/>
                      <w:rPr>
                        <w:rFonts w:hint="eastAsia" w:ascii="宋体" w:hAnsi="宋体" w:eastAsia="宋体" w:cs="宋体"/>
                        <w:sz w:val="24"/>
                        <w:szCs w:val="24"/>
                      </w:rPr>
                    </w:pP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F11CC"/>
    <w:multiLevelType w:val="singleLevel"/>
    <w:tmpl w:val="977F11CC"/>
    <w:lvl w:ilvl="0" w:tentative="0">
      <w:start w:val="7"/>
      <w:numFmt w:val="chineseCounting"/>
      <w:suff w:val="space"/>
      <w:lvlText w:val="第%1章"/>
      <w:lvlJc w:val="left"/>
      <w:rPr>
        <w:rFonts w:hint="eastAsia"/>
      </w:rPr>
    </w:lvl>
  </w:abstractNum>
  <w:abstractNum w:abstractNumId="1">
    <w:nsid w:val="97DF9BF3"/>
    <w:multiLevelType w:val="singleLevel"/>
    <w:tmpl w:val="97DF9BF3"/>
    <w:lvl w:ilvl="0" w:tentative="0">
      <w:start w:val="1"/>
      <w:numFmt w:val="chineseCounting"/>
      <w:suff w:val="space"/>
      <w:lvlText w:val="第%1节"/>
      <w:lvlJc w:val="left"/>
      <w:rPr>
        <w:rFonts w:hint="eastAsia"/>
      </w:rPr>
    </w:lvl>
  </w:abstractNum>
  <w:abstractNum w:abstractNumId="2">
    <w:nsid w:val="9A07426C"/>
    <w:multiLevelType w:val="singleLevel"/>
    <w:tmpl w:val="9A07426C"/>
    <w:lvl w:ilvl="0" w:tentative="0">
      <w:start w:val="1"/>
      <w:numFmt w:val="chineseCounting"/>
      <w:suff w:val="space"/>
      <w:lvlText w:val="第%1节"/>
      <w:lvlJc w:val="left"/>
      <w:rPr>
        <w:rFonts w:hint="eastAsia"/>
      </w:rPr>
    </w:lvl>
  </w:abstractNum>
  <w:abstractNum w:abstractNumId="3">
    <w:nsid w:val="AA6799DE"/>
    <w:multiLevelType w:val="singleLevel"/>
    <w:tmpl w:val="AA6799DE"/>
    <w:lvl w:ilvl="0" w:tentative="0">
      <w:start w:val="1"/>
      <w:numFmt w:val="chineseCounting"/>
      <w:suff w:val="space"/>
      <w:lvlText w:val="第%1章"/>
      <w:lvlJc w:val="left"/>
      <w:rPr>
        <w:rFonts w:hint="eastAsia"/>
      </w:rPr>
    </w:lvl>
  </w:abstractNum>
  <w:abstractNum w:abstractNumId="4">
    <w:nsid w:val="C73756D2"/>
    <w:multiLevelType w:val="singleLevel"/>
    <w:tmpl w:val="C73756D2"/>
    <w:lvl w:ilvl="0" w:tentative="0">
      <w:start w:val="3"/>
      <w:numFmt w:val="chineseCounting"/>
      <w:suff w:val="space"/>
      <w:lvlText w:val="第%1章"/>
      <w:lvlJc w:val="left"/>
      <w:rPr>
        <w:rFonts w:hint="eastAsia"/>
      </w:rPr>
    </w:lvl>
  </w:abstractNum>
  <w:abstractNum w:abstractNumId="5">
    <w:nsid w:val="DE8BC6D9"/>
    <w:multiLevelType w:val="singleLevel"/>
    <w:tmpl w:val="DE8BC6D9"/>
    <w:lvl w:ilvl="0" w:tentative="0">
      <w:start w:val="1"/>
      <w:numFmt w:val="chineseCounting"/>
      <w:suff w:val="space"/>
      <w:lvlText w:val="第%1节"/>
      <w:lvlJc w:val="left"/>
      <w:rPr>
        <w:rFonts w:hint="eastAsia"/>
      </w:rPr>
    </w:lvl>
  </w:abstractNum>
  <w:abstractNum w:abstractNumId="6">
    <w:nsid w:val="EDA53F94"/>
    <w:multiLevelType w:val="singleLevel"/>
    <w:tmpl w:val="EDA53F94"/>
    <w:lvl w:ilvl="0" w:tentative="0">
      <w:start w:val="2"/>
      <w:numFmt w:val="chineseCounting"/>
      <w:suff w:val="space"/>
      <w:lvlText w:val="第%1节"/>
      <w:lvlJc w:val="left"/>
      <w:rPr>
        <w:rFonts w:hint="eastAsia"/>
      </w:rPr>
    </w:lvl>
  </w:abstractNum>
  <w:abstractNum w:abstractNumId="7">
    <w:nsid w:val="EDF71B1E"/>
    <w:multiLevelType w:val="singleLevel"/>
    <w:tmpl w:val="EDF71B1E"/>
    <w:lvl w:ilvl="0" w:tentative="0">
      <w:start w:val="1"/>
      <w:numFmt w:val="chineseCounting"/>
      <w:suff w:val="space"/>
      <w:lvlText w:val="第%1节"/>
      <w:lvlJc w:val="left"/>
      <w:rPr>
        <w:rFonts w:hint="eastAsia"/>
      </w:rPr>
    </w:lvl>
  </w:abstractNum>
  <w:abstractNum w:abstractNumId="8">
    <w:nsid w:val="F73E4E4F"/>
    <w:multiLevelType w:val="singleLevel"/>
    <w:tmpl w:val="F73E4E4F"/>
    <w:lvl w:ilvl="0" w:tentative="0">
      <w:start w:val="1"/>
      <w:numFmt w:val="chineseCounting"/>
      <w:suff w:val="space"/>
      <w:lvlText w:val="第%1节"/>
      <w:lvlJc w:val="left"/>
      <w:rPr>
        <w:rFonts w:hint="eastAsia"/>
      </w:rPr>
    </w:lvl>
  </w:abstractNum>
  <w:abstractNum w:abstractNumId="9">
    <w:nsid w:val="FF537966"/>
    <w:multiLevelType w:val="singleLevel"/>
    <w:tmpl w:val="FF537966"/>
    <w:lvl w:ilvl="0" w:tentative="0">
      <w:start w:val="2"/>
      <w:numFmt w:val="chineseCounting"/>
      <w:suff w:val="space"/>
      <w:lvlText w:val="第%1节"/>
      <w:lvlJc w:val="left"/>
      <w:rPr>
        <w:rFonts w:hint="eastAsia"/>
      </w:rPr>
    </w:lvl>
  </w:abstractNum>
  <w:abstractNum w:abstractNumId="10">
    <w:nsid w:val="3355D18C"/>
    <w:multiLevelType w:val="singleLevel"/>
    <w:tmpl w:val="3355D18C"/>
    <w:lvl w:ilvl="0" w:tentative="0">
      <w:start w:val="1"/>
      <w:numFmt w:val="chineseCounting"/>
      <w:suff w:val="space"/>
      <w:lvlText w:val="第%1节"/>
      <w:lvlJc w:val="left"/>
      <w:rPr>
        <w:rFonts w:hint="eastAsia"/>
      </w:rPr>
    </w:lvl>
  </w:abstractNum>
  <w:abstractNum w:abstractNumId="11">
    <w:nsid w:val="3547ECA3"/>
    <w:multiLevelType w:val="singleLevel"/>
    <w:tmpl w:val="3547ECA3"/>
    <w:lvl w:ilvl="0" w:tentative="0">
      <w:start w:val="1"/>
      <w:numFmt w:val="chineseCounting"/>
      <w:suff w:val="space"/>
      <w:lvlText w:val="第%1节"/>
      <w:lvlJc w:val="left"/>
      <w:rPr>
        <w:rFonts w:hint="eastAsia"/>
      </w:rPr>
    </w:lvl>
  </w:abstractNum>
  <w:abstractNum w:abstractNumId="12">
    <w:nsid w:val="525214DF"/>
    <w:multiLevelType w:val="singleLevel"/>
    <w:tmpl w:val="525214DF"/>
    <w:lvl w:ilvl="0" w:tentative="0">
      <w:start w:val="1"/>
      <w:numFmt w:val="chineseCounting"/>
      <w:suff w:val="space"/>
      <w:lvlText w:val="第%1节"/>
      <w:lvlJc w:val="left"/>
      <w:rPr>
        <w:rFonts w:hint="eastAsia"/>
      </w:rPr>
    </w:lvl>
  </w:abstractNum>
  <w:abstractNum w:abstractNumId="13">
    <w:nsid w:val="59BD4739"/>
    <w:multiLevelType w:val="singleLevel"/>
    <w:tmpl w:val="59BD4739"/>
    <w:lvl w:ilvl="0" w:tentative="0">
      <w:start w:val="1"/>
      <w:numFmt w:val="chineseCounting"/>
      <w:suff w:val="space"/>
      <w:lvlText w:val="第%1节"/>
      <w:lvlJc w:val="left"/>
      <w:rPr>
        <w:rFonts w:hint="eastAsia"/>
      </w:rPr>
    </w:lvl>
  </w:abstractNum>
  <w:abstractNum w:abstractNumId="14">
    <w:nsid w:val="5FB4C00E"/>
    <w:multiLevelType w:val="singleLevel"/>
    <w:tmpl w:val="5FB4C00E"/>
    <w:lvl w:ilvl="0" w:tentative="0">
      <w:start w:val="1"/>
      <w:numFmt w:val="chineseCounting"/>
      <w:suff w:val="space"/>
      <w:lvlText w:val="第%1节"/>
      <w:lvlJc w:val="left"/>
      <w:rPr>
        <w:rFonts w:hint="eastAsia"/>
      </w:rPr>
    </w:lvl>
  </w:abstractNum>
  <w:abstractNum w:abstractNumId="15">
    <w:nsid w:val="62967C0E"/>
    <w:multiLevelType w:val="singleLevel"/>
    <w:tmpl w:val="62967C0E"/>
    <w:lvl w:ilvl="0" w:tentative="0">
      <w:start w:val="1"/>
      <w:numFmt w:val="chineseCounting"/>
      <w:suff w:val="space"/>
      <w:lvlText w:val="第%1节"/>
      <w:lvlJc w:val="left"/>
      <w:rPr>
        <w:rFonts w:hint="eastAsia"/>
      </w:rPr>
    </w:lvl>
  </w:abstractNum>
  <w:num w:numId="1">
    <w:abstractNumId w:val="3"/>
  </w:num>
  <w:num w:numId="2">
    <w:abstractNumId w:val="6"/>
  </w:num>
  <w:num w:numId="3">
    <w:abstractNumId w:val="9"/>
  </w:num>
  <w:num w:numId="4">
    <w:abstractNumId w:val="4"/>
  </w:num>
  <w:num w:numId="5">
    <w:abstractNumId w:val="12"/>
  </w:num>
  <w:num w:numId="6">
    <w:abstractNumId w:val="13"/>
  </w:num>
  <w:num w:numId="7">
    <w:abstractNumId w:val="5"/>
  </w:num>
  <w:num w:numId="8">
    <w:abstractNumId w:val="10"/>
  </w:num>
  <w:num w:numId="9">
    <w:abstractNumId w:val="0"/>
  </w:num>
  <w:num w:numId="10">
    <w:abstractNumId w:val="14"/>
  </w:num>
  <w:num w:numId="11">
    <w:abstractNumId w:val="15"/>
  </w:num>
  <w:num w:numId="12">
    <w:abstractNumId w:val="7"/>
  </w:num>
  <w:num w:numId="13">
    <w:abstractNumId w:val="2"/>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94"/>
    <w:rsid w:val="00003363"/>
    <w:rsid w:val="00005F6F"/>
    <w:rsid w:val="00007099"/>
    <w:rsid w:val="0002514D"/>
    <w:rsid w:val="00032188"/>
    <w:rsid w:val="00033EB8"/>
    <w:rsid w:val="00050AB9"/>
    <w:rsid w:val="000601A3"/>
    <w:rsid w:val="00063C63"/>
    <w:rsid w:val="00064030"/>
    <w:rsid w:val="00072228"/>
    <w:rsid w:val="00075730"/>
    <w:rsid w:val="000833FC"/>
    <w:rsid w:val="0008516E"/>
    <w:rsid w:val="00094C84"/>
    <w:rsid w:val="000A051D"/>
    <w:rsid w:val="000A1057"/>
    <w:rsid w:val="000B321D"/>
    <w:rsid w:val="000C0D99"/>
    <w:rsid w:val="000C36B6"/>
    <w:rsid w:val="000D6FEA"/>
    <w:rsid w:val="000E4F18"/>
    <w:rsid w:val="000F4EAF"/>
    <w:rsid w:val="00103854"/>
    <w:rsid w:val="001175F6"/>
    <w:rsid w:val="00123619"/>
    <w:rsid w:val="00156288"/>
    <w:rsid w:val="00165744"/>
    <w:rsid w:val="00170B99"/>
    <w:rsid w:val="001712E2"/>
    <w:rsid w:val="00181FA7"/>
    <w:rsid w:val="00184DBC"/>
    <w:rsid w:val="001A21AB"/>
    <w:rsid w:val="001A7C3A"/>
    <w:rsid w:val="001B2606"/>
    <w:rsid w:val="001B5F54"/>
    <w:rsid w:val="001C3035"/>
    <w:rsid w:val="001D6318"/>
    <w:rsid w:val="001E2618"/>
    <w:rsid w:val="001E2D78"/>
    <w:rsid w:val="002075C4"/>
    <w:rsid w:val="002161C8"/>
    <w:rsid w:val="0023008E"/>
    <w:rsid w:val="00230197"/>
    <w:rsid w:val="00251AAE"/>
    <w:rsid w:val="00256B64"/>
    <w:rsid w:val="0026160D"/>
    <w:rsid w:val="00263BF8"/>
    <w:rsid w:val="00266B23"/>
    <w:rsid w:val="00274C01"/>
    <w:rsid w:val="002759EB"/>
    <w:rsid w:val="00276AA0"/>
    <w:rsid w:val="00281ED3"/>
    <w:rsid w:val="002869A3"/>
    <w:rsid w:val="00286B7E"/>
    <w:rsid w:val="002921C8"/>
    <w:rsid w:val="00293030"/>
    <w:rsid w:val="00297DCB"/>
    <w:rsid w:val="002A36DA"/>
    <w:rsid w:val="002B183E"/>
    <w:rsid w:val="002B6D14"/>
    <w:rsid w:val="002C261A"/>
    <w:rsid w:val="002D0F71"/>
    <w:rsid w:val="002D1DF0"/>
    <w:rsid w:val="002D348D"/>
    <w:rsid w:val="002E27D8"/>
    <w:rsid w:val="002E6E96"/>
    <w:rsid w:val="002F44C6"/>
    <w:rsid w:val="003051FF"/>
    <w:rsid w:val="003073DE"/>
    <w:rsid w:val="00314F8A"/>
    <w:rsid w:val="003178E4"/>
    <w:rsid w:val="00324126"/>
    <w:rsid w:val="00333FBD"/>
    <w:rsid w:val="00334857"/>
    <w:rsid w:val="003354BD"/>
    <w:rsid w:val="003737C6"/>
    <w:rsid w:val="003745D0"/>
    <w:rsid w:val="0037548C"/>
    <w:rsid w:val="003818B3"/>
    <w:rsid w:val="00381F84"/>
    <w:rsid w:val="0038567A"/>
    <w:rsid w:val="00391928"/>
    <w:rsid w:val="00396D2A"/>
    <w:rsid w:val="003B17B6"/>
    <w:rsid w:val="003B76EA"/>
    <w:rsid w:val="003C269C"/>
    <w:rsid w:val="003D6C2F"/>
    <w:rsid w:val="003E65AF"/>
    <w:rsid w:val="00400B6C"/>
    <w:rsid w:val="00403BC6"/>
    <w:rsid w:val="00404652"/>
    <w:rsid w:val="00404E60"/>
    <w:rsid w:val="00414CB4"/>
    <w:rsid w:val="00421CAA"/>
    <w:rsid w:val="00423E08"/>
    <w:rsid w:val="00432B15"/>
    <w:rsid w:val="00476614"/>
    <w:rsid w:val="00490C42"/>
    <w:rsid w:val="004A22A5"/>
    <w:rsid w:val="004A352F"/>
    <w:rsid w:val="004A5814"/>
    <w:rsid w:val="004A7F37"/>
    <w:rsid w:val="004B512D"/>
    <w:rsid w:val="004B7A1C"/>
    <w:rsid w:val="004D13F3"/>
    <w:rsid w:val="0050213C"/>
    <w:rsid w:val="00507A4D"/>
    <w:rsid w:val="00511E9A"/>
    <w:rsid w:val="00514960"/>
    <w:rsid w:val="0051742F"/>
    <w:rsid w:val="00521E06"/>
    <w:rsid w:val="00531AF6"/>
    <w:rsid w:val="005414C3"/>
    <w:rsid w:val="00570783"/>
    <w:rsid w:val="00573E1E"/>
    <w:rsid w:val="00592D54"/>
    <w:rsid w:val="00595D39"/>
    <w:rsid w:val="005A59EA"/>
    <w:rsid w:val="005B25CD"/>
    <w:rsid w:val="005C26B0"/>
    <w:rsid w:val="005C3C97"/>
    <w:rsid w:val="005E062E"/>
    <w:rsid w:val="005E7B8D"/>
    <w:rsid w:val="005F7576"/>
    <w:rsid w:val="005F7EBF"/>
    <w:rsid w:val="0060690E"/>
    <w:rsid w:val="006273A4"/>
    <w:rsid w:val="00627B66"/>
    <w:rsid w:val="006356F0"/>
    <w:rsid w:val="0065185D"/>
    <w:rsid w:val="00653FCE"/>
    <w:rsid w:val="00660F0E"/>
    <w:rsid w:val="006670BC"/>
    <w:rsid w:val="006728FD"/>
    <w:rsid w:val="00675D9C"/>
    <w:rsid w:val="00680FA1"/>
    <w:rsid w:val="006C48E5"/>
    <w:rsid w:val="006C6043"/>
    <w:rsid w:val="006D494D"/>
    <w:rsid w:val="006D5A0E"/>
    <w:rsid w:val="006E5614"/>
    <w:rsid w:val="006E7846"/>
    <w:rsid w:val="006F115C"/>
    <w:rsid w:val="006F32E0"/>
    <w:rsid w:val="00731A77"/>
    <w:rsid w:val="00733C67"/>
    <w:rsid w:val="00757952"/>
    <w:rsid w:val="00771BE9"/>
    <w:rsid w:val="00774261"/>
    <w:rsid w:val="0078568E"/>
    <w:rsid w:val="007863EA"/>
    <w:rsid w:val="00786FBA"/>
    <w:rsid w:val="007A0659"/>
    <w:rsid w:val="007A2607"/>
    <w:rsid w:val="007A5A4C"/>
    <w:rsid w:val="007D5CDF"/>
    <w:rsid w:val="007F0133"/>
    <w:rsid w:val="007F1994"/>
    <w:rsid w:val="007F3241"/>
    <w:rsid w:val="007F33B3"/>
    <w:rsid w:val="007F6E8A"/>
    <w:rsid w:val="00801E29"/>
    <w:rsid w:val="00805378"/>
    <w:rsid w:val="00806315"/>
    <w:rsid w:val="008109DF"/>
    <w:rsid w:val="0083548A"/>
    <w:rsid w:val="00841769"/>
    <w:rsid w:val="00846C3E"/>
    <w:rsid w:val="00850760"/>
    <w:rsid w:val="008522B0"/>
    <w:rsid w:val="00853D5C"/>
    <w:rsid w:val="0087790D"/>
    <w:rsid w:val="00884ECA"/>
    <w:rsid w:val="008859A4"/>
    <w:rsid w:val="00892D56"/>
    <w:rsid w:val="00894C8F"/>
    <w:rsid w:val="008A0FA0"/>
    <w:rsid w:val="008A1587"/>
    <w:rsid w:val="008A64BF"/>
    <w:rsid w:val="008A7205"/>
    <w:rsid w:val="008A7683"/>
    <w:rsid w:val="008B44CE"/>
    <w:rsid w:val="008B5E44"/>
    <w:rsid w:val="008C1728"/>
    <w:rsid w:val="008D57CF"/>
    <w:rsid w:val="008F0474"/>
    <w:rsid w:val="008F76C6"/>
    <w:rsid w:val="008F799D"/>
    <w:rsid w:val="0090579E"/>
    <w:rsid w:val="00911CAB"/>
    <w:rsid w:val="0092313A"/>
    <w:rsid w:val="00931D2B"/>
    <w:rsid w:val="00942BDD"/>
    <w:rsid w:val="0096332A"/>
    <w:rsid w:val="009A15A0"/>
    <w:rsid w:val="009A26CE"/>
    <w:rsid w:val="009B009B"/>
    <w:rsid w:val="009B0602"/>
    <w:rsid w:val="009B52BB"/>
    <w:rsid w:val="009B67EC"/>
    <w:rsid w:val="009B72D6"/>
    <w:rsid w:val="009C39DD"/>
    <w:rsid w:val="009D0194"/>
    <w:rsid w:val="009D5867"/>
    <w:rsid w:val="009E4B28"/>
    <w:rsid w:val="009F348B"/>
    <w:rsid w:val="009F6A3A"/>
    <w:rsid w:val="00A02600"/>
    <w:rsid w:val="00A06B5E"/>
    <w:rsid w:val="00A06CB6"/>
    <w:rsid w:val="00A17343"/>
    <w:rsid w:val="00A22BB9"/>
    <w:rsid w:val="00A27CBB"/>
    <w:rsid w:val="00A35CCD"/>
    <w:rsid w:val="00A51118"/>
    <w:rsid w:val="00A630E5"/>
    <w:rsid w:val="00A63156"/>
    <w:rsid w:val="00A64097"/>
    <w:rsid w:val="00A6799C"/>
    <w:rsid w:val="00A77A11"/>
    <w:rsid w:val="00A905E6"/>
    <w:rsid w:val="00AE176F"/>
    <w:rsid w:val="00AF4340"/>
    <w:rsid w:val="00B000BC"/>
    <w:rsid w:val="00B05541"/>
    <w:rsid w:val="00B0693C"/>
    <w:rsid w:val="00B2458B"/>
    <w:rsid w:val="00B35F31"/>
    <w:rsid w:val="00B36DE9"/>
    <w:rsid w:val="00B47061"/>
    <w:rsid w:val="00B55AFB"/>
    <w:rsid w:val="00B81E53"/>
    <w:rsid w:val="00B8581D"/>
    <w:rsid w:val="00B90BF6"/>
    <w:rsid w:val="00B94DD9"/>
    <w:rsid w:val="00B95DCC"/>
    <w:rsid w:val="00B96522"/>
    <w:rsid w:val="00BC0E3E"/>
    <w:rsid w:val="00BD7A9D"/>
    <w:rsid w:val="00C02312"/>
    <w:rsid w:val="00C13646"/>
    <w:rsid w:val="00C2429E"/>
    <w:rsid w:val="00C41BA7"/>
    <w:rsid w:val="00C41F82"/>
    <w:rsid w:val="00C4489C"/>
    <w:rsid w:val="00C47232"/>
    <w:rsid w:val="00C73A60"/>
    <w:rsid w:val="00C94097"/>
    <w:rsid w:val="00C94A23"/>
    <w:rsid w:val="00CA64EF"/>
    <w:rsid w:val="00CA6844"/>
    <w:rsid w:val="00CA7B35"/>
    <w:rsid w:val="00CB1A69"/>
    <w:rsid w:val="00CB5823"/>
    <w:rsid w:val="00CC4536"/>
    <w:rsid w:val="00CC5EE6"/>
    <w:rsid w:val="00CE0A99"/>
    <w:rsid w:val="00CE33BE"/>
    <w:rsid w:val="00CE732B"/>
    <w:rsid w:val="00CE7927"/>
    <w:rsid w:val="00CF0F33"/>
    <w:rsid w:val="00CF1A0F"/>
    <w:rsid w:val="00CF7BD4"/>
    <w:rsid w:val="00D0453C"/>
    <w:rsid w:val="00D1105B"/>
    <w:rsid w:val="00D12E63"/>
    <w:rsid w:val="00D12F7D"/>
    <w:rsid w:val="00D20CD3"/>
    <w:rsid w:val="00D36D9F"/>
    <w:rsid w:val="00D43915"/>
    <w:rsid w:val="00D54C30"/>
    <w:rsid w:val="00D703F1"/>
    <w:rsid w:val="00D72AC2"/>
    <w:rsid w:val="00D759EA"/>
    <w:rsid w:val="00D763EB"/>
    <w:rsid w:val="00DA06E1"/>
    <w:rsid w:val="00DB65CB"/>
    <w:rsid w:val="00DB6F70"/>
    <w:rsid w:val="00DC011A"/>
    <w:rsid w:val="00DC717E"/>
    <w:rsid w:val="00DD17DA"/>
    <w:rsid w:val="00DD7F5B"/>
    <w:rsid w:val="00DE06F2"/>
    <w:rsid w:val="00DE1FA4"/>
    <w:rsid w:val="00DE6AF4"/>
    <w:rsid w:val="00E006CA"/>
    <w:rsid w:val="00E03BB1"/>
    <w:rsid w:val="00E05558"/>
    <w:rsid w:val="00E162D5"/>
    <w:rsid w:val="00E24AC8"/>
    <w:rsid w:val="00E31769"/>
    <w:rsid w:val="00E32F45"/>
    <w:rsid w:val="00E523E9"/>
    <w:rsid w:val="00E5572E"/>
    <w:rsid w:val="00E5658C"/>
    <w:rsid w:val="00E62B7C"/>
    <w:rsid w:val="00E712DB"/>
    <w:rsid w:val="00E73AAD"/>
    <w:rsid w:val="00E84C20"/>
    <w:rsid w:val="00E92BA7"/>
    <w:rsid w:val="00EA34D5"/>
    <w:rsid w:val="00EA6348"/>
    <w:rsid w:val="00EB2F89"/>
    <w:rsid w:val="00EC1F49"/>
    <w:rsid w:val="00EC6486"/>
    <w:rsid w:val="00EF0135"/>
    <w:rsid w:val="00F0010E"/>
    <w:rsid w:val="00F00F20"/>
    <w:rsid w:val="00F13306"/>
    <w:rsid w:val="00F16751"/>
    <w:rsid w:val="00F22E79"/>
    <w:rsid w:val="00F3373E"/>
    <w:rsid w:val="00F36816"/>
    <w:rsid w:val="00F41C75"/>
    <w:rsid w:val="00F469B1"/>
    <w:rsid w:val="00F47486"/>
    <w:rsid w:val="00F6011C"/>
    <w:rsid w:val="00F6341D"/>
    <w:rsid w:val="00F771F6"/>
    <w:rsid w:val="00F82AD8"/>
    <w:rsid w:val="00F83260"/>
    <w:rsid w:val="00F873C2"/>
    <w:rsid w:val="00F87522"/>
    <w:rsid w:val="00F87814"/>
    <w:rsid w:val="00F941E2"/>
    <w:rsid w:val="00FA0F21"/>
    <w:rsid w:val="00FA57EA"/>
    <w:rsid w:val="00FB37EA"/>
    <w:rsid w:val="00FC5E6D"/>
    <w:rsid w:val="00FD592A"/>
    <w:rsid w:val="069E2565"/>
    <w:rsid w:val="09756BA7"/>
    <w:rsid w:val="0E045602"/>
    <w:rsid w:val="10891894"/>
    <w:rsid w:val="119A1C53"/>
    <w:rsid w:val="12331806"/>
    <w:rsid w:val="155001C3"/>
    <w:rsid w:val="16B15612"/>
    <w:rsid w:val="1BFF2B75"/>
    <w:rsid w:val="1C7414CC"/>
    <w:rsid w:val="1DAB30C2"/>
    <w:rsid w:val="22E36481"/>
    <w:rsid w:val="25EA5E20"/>
    <w:rsid w:val="26336BD0"/>
    <w:rsid w:val="279404A9"/>
    <w:rsid w:val="2985628C"/>
    <w:rsid w:val="2DCB5B33"/>
    <w:rsid w:val="2FBD4252"/>
    <w:rsid w:val="352A54B7"/>
    <w:rsid w:val="366C5A78"/>
    <w:rsid w:val="39F22225"/>
    <w:rsid w:val="3E6B24AB"/>
    <w:rsid w:val="48CE2F2A"/>
    <w:rsid w:val="49C3133E"/>
    <w:rsid w:val="4D9E7417"/>
    <w:rsid w:val="5885435F"/>
    <w:rsid w:val="5BEC50A8"/>
    <w:rsid w:val="614173A9"/>
    <w:rsid w:val="66996989"/>
    <w:rsid w:val="687E39FB"/>
    <w:rsid w:val="6DB07AF1"/>
    <w:rsid w:val="6F673C9C"/>
    <w:rsid w:val="6FDF68DC"/>
    <w:rsid w:val="6FE811D8"/>
    <w:rsid w:val="7269597C"/>
    <w:rsid w:val="73243B5C"/>
    <w:rsid w:val="7444117D"/>
    <w:rsid w:val="75FC2A0F"/>
    <w:rsid w:val="76292EA2"/>
    <w:rsid w:val="76C609D2"/>
    <w:rsid w:val="77E35C02"/>
    <w:rsid w:val="7A247528"/>
    <w:rsid w:val="7B0A4B09"/>
    <w:rsid w:val="7E64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paragraph" w:styleId="4">
    <w:name w:val="heading 1"/>
    <w:basedOn w:val="1"/>
    <w:next w:val="1"/>
    <w:link w:val="19"/>
    <w:qFormat/>
    <w:uiPriority w:val="9"/>
    <w:pPr>
      <w:keepNext/>
      <w:keepLines/>
      <w:jc w:val="center"/>
      <w:outlineLvl w:val="0"/>
    </w:pPr>
    <w:rPr>
      <w:rFonts w:eastAsia="黑体"/>
      <w:b/>
      <w:bCs/>
      <w:kern w:val="44"/>
      <w:szCs w:val="44"/>
    </w:rPr>
  </w:style>
  <w:style w:type="paragraph" w:styleId="5">
    <w:name w:val="heading 2"/>
    <w:basedOn w:val="1"/>
    <w:next w:val="1"/>
    <w:link w:val="20"/>
    <w:unhideWhenUsed/>
    <w:qFormat/>
    <w:uiPriority w:val="9"/>
    <w:pPr>
      <w:keepNext/>
      <w:keepLines/>
      <w:jc w:val="center"/>
      <w:outlineLvl w:val="1"/>
    </w:pPr>
    <w:rPr>
      <w:rFonts w:eastAsia="楷体" w:asciiTheme="majorHAnsi" w:hAnsiTheme="majorHAnsi" w:cstheme="majorBidi"/>
      <w:b/>
      <w:bCs/>
      <w:szCs w:val="32"/>
    </w:rPr>
  </w:style>
  <w:style w:type="paragraph" w:styleId="6">
    <w:name w:val="heading 3"/>
    <w:basedOn w:val="1"/>
    <w:next w:val="1"/>
    <w:link w:val="21"/>
    <w:unhideWhenUsed/>
    <w:qFormat/>
    <w:uiPriority w:val="9"/>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964"/>
    </w:pPr>
    <w:rPr>
      <w:rFonts w:ascii="等线" w:hAnsi="等线" w:cs="等线"/>
      <w:sz w:val="28"/>
      <w:szCs w:val="20"/>
      <w:lang w:val="zh-CN" w:bidi="zh-CN"/>
    </w:rPr>
  </w:style>
  <w:style w:type="paragraph" w:styleId="3">
    <w:name w:val="Body Text"/>
    <w:basedOn w:val="1"/>
    <w:qFormat/>
    <w:uiPriority w:val="0"/>
    <w:pPr>
      <w:spacing w:after="120"/>
    </w:pPr>
  </w:style>
  <w:style w:type="paragraph" w:styleId="7">
    <w:name w:val="toc 3"/>
    <w:basedOn w:val="6"/>
    <w:next w:val="1"/>
    <w:unhideWhenUsed/>
    <w:qFormat/>
    <w:uiPriority w:val="39"/>
    <w:pPr>
      <w:spacing w:before="0" w:after="0" w:line="600" w:lineRule="exact"/>
      <w:ind w:left="100" w:leftChars="100"/>
      <w:jc w:val="left"/>
    </w:pPr>
    <w:rPr>
      <w:rFonts w:eastAsia="楷体"/>
    </w:r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060"/>
      </w:tabs>
      <w:spacing w:line="240" w:lineRule="atLeast"/>
      <w:jc w:val="center"/>
    </w:pPr>
    <w:rPr>
      <w:rFonts w:eastAsia="宋体"/>
      <w:b/>
    </w:rPr>
  </w:style>
  <w:style w:type="paragraph" w:styleId="12">
    <w:name w:val="toc 2"/>
    <w:basedOn w:val="5"/>
    <w:next w:val="1"/>
    <w:unhideWhenUsed/>
    <w:qFormat/>
    <w:uiPriority w:val="39"/>
    <w:pPr>
      <w:spacing w:line="600" w:lineRule="exact"/>
      <w:ind w:left="50" w:leftChars="50"/>
      <w:jc w:val="left"/>
    </w:pPr>
    <w:rPr>
      <w:b w:val="0"/>
    </w:r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标题 1 Char"/>
    <w:basedOn w:val="15"/>
    <w:link w:val="4"/>
    <w:qFormat/>
    <w:uiPriority w:val="9"/>
    <w:rPr>
      <w:rFonts w:eastAsia="黑体"/>
      <w:b/>
      <w:bCs/>
      <w:kern w:val="44"/>
      <w:sz w:val="32"/>
      <w:szCs w:val="44"/>
    </w:rPr>
  </w:style>
  <w:style w:type="character" w:customStyle="1" w:styleId="20">
    <w:name w:val="标题 2 Char"/>
    <w:basedOn w:val="15"/>
    <w:link w:val="5"/>
    <w:qFormat/>
    <w:uiPriority w:val="9"/>
    <w:rPr>
      <w:rFonts w:eastAsia="楷体" w:asciiTheme="majorHAnsi" w:hAnsiTheme="majorHAnsi" w:cstheme="majorBidi"/>
      <w:b/>
      <w:bCs/>
      <w:sz w:val="32"/>
      <w:szCs w:val="32"/>
    </w:rPr>
  </w:style>
  <w:style w:type="character" w:customStyle="1" w:styleId="21">
    <w:name w:val="标题 3 Char"/>
    <w:basedOn w:val="15"/>
    <w:link w:val="6"/>
    <w:qFormat/>
    <w:uiPriority w:val="9"/>
    <w:rPr>
      <w:rFonts w:eastAsia="仿宋"/>
      <w:b/>
      <w:bCs/>
      <w:sz w:val="32"/>
      <w:szCs w:val="32"/>
    </w:rPr>
  </w:style>
  <w:style w:type="paragraph" w:styleId="22">
    <w:name w:val="No Spacing"/>
    <w:qFormat/>
    <w:uiPriority w:val="1"/>
    <w:pPr>
      <w:widowControl w:val="0"/>
      <w:jc w:val="both"/>
    </w:pPr>
    <w:rPr>
      <w:rFonts w:eastAsia="仿宋" w:asciiTheme="minorHAnsi" w:hAnsiTheme="minorHAnsi" w:cstheme="minorBidi"/>
      <w:kern w:val="2"/>
      <w:sz w:val="32"/>
      <w:szCs w:val="22"/>
      <w:lang w:val="en-US" w:eastAsia="zh-CN" w:bidi="ar-SA"/>
    </w:rPr>
  </w:style>
  <w:style w:type="character" w:customStyle="1" w:styleId="23">
    <w:name w:val="批注框文本 Char"/>
    <w:basedOn w:val="15"/>
    <w:link w:val="8"/>
    <w:semiHidden/>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8E4BE-1700-461E-B02B-520374A01B0F}">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8036</Words>
  <Characters>45811</Characters>
  <Lines>381</Lines>
  <Paragraphs>107</Paragraphs>
  <TotalTime>27</TotalTime>
  <ScaleCrop>false</ScaleCrop>
  <LinksUpToDate>false</LinksUpToDate>
  <CharactersWithSpaces>53740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2021-02-18T10:12:00Z</dcterms:created>
  <dc:creator>User</dc:creator>
  <cp:lastModifiedBy>Lee</cp:lastModifiedBy>
  <cp:lastPrinted>2021-02-24T03:17:00Z</cp:lastPrinted>
  <dcterms:modified xsi:type="dcterms:W3CDTF">2023-11-09T10:53:18Z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845407C584404B029FE1C36226548428</vt:lpwstr>
  </property>
</Properties>
</file>