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C8AEA">
      <w:pPr>
        <w:ind w:firstLine="0" w:firstLineChars="0"/>
        <w:jc w:val="center"/>
        <w:rPr>
          <w:rFonts w:hint="eastAsia" w:ascii="黑体" w:hAnsi="黑体" w:eastAsia="黑体"/>
          <w:sz w:val="44"/>
          <w:szCs w:val="44"/>
        </w:rPr>
      </w:pPr>
      <w:bookmarkStart w:id="0" w:name="_GoBack"/>
      <w:r>
        <w:rPr>
          <w:rFonts w:hint="eastAsia" w:ascii="黑体" w:hAnsi="黑体" w:eastAsia="黑体"/>
          <w:sz w:val="44"/>
          <w:szCs w:val="44"/>
          <w:lang w:val="en-US" w:eastAsia="zh-CN"/>
        </w:rPr>
        <w:t>建设项目征占地补偿</w:t>
      </w:r>
      <w:r>
        <w:rPr>
          <w:rFonts w:hint="eastAsia" w:ascii="黑体" w:hAnsi="黑体" w:eastAsia="黑体"/>
          <w:sz w:val="44"/>
          <w:szCs w:val="44"/>
        </w:rPr>
        <w:t>使用林地领域基层政务公开标准目录</w:t>
      </w:r>
      <w:bookmarkEnd w:id="0"/>
    </w:p>
    <w:p w14:paraId="5D6A2C64">
      <w:pPr>
        <w:ind w:firstLine="360"/>
        <w:jc w:val="center"/>
        <w:rPr>
          <w:rFonts w:hint="eastAsia" w:ascii="黑体" w:hAnsi="黑体" w:eastAsia="黑体"/>
          <w:sz w:val="18"/>
          <w:szCs w:val="18"/>
        </w:rPr>
      </w:pPr>
    </w:p>
    <w:tbl>
      <w:tblPr>
        <w:tblStyle w:val="6"/>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260"/>
        <w:gridCol w:w="1440"/>
        <w:gridCol w:w="1080"/>
        <w:gridCol w:w="720"/>
        <w:gridCol w:w="709"/>
        <w:gridCol w:w="551"/>
        <w:gridCol w:w="720"/>
        <w:gridCol w:w="720"/>
        <w:gridCol w:w="720"/>
      </w:tblGrid>
      <w:tr w14:paraId="5E83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14:paraId="4D35DC0F">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序号</w:t>
            </w:r>
          </w:p>
        </w:tc>
        <w:tc>
          <w:tcPr>
            <w:tcW w:w="1980" w:type="dxa"/>
            <w:gridSpan w:val="2"/>
            <w:shd w:val="clear" w:color="auto" w:fill="auto"/>
            <w:vAlign w:val="center"/>
          </w:tcPr>
          <w:p w14:paraId="2647FC39">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公开事项</w:t>
            </w:r>
          </w:p>
        </w:tc>
        <w:tc>
          <w:tcPr>
            <w:tcW w:w="1800" w:type="dxa"/>
            <w:vMerge w:val="restart"/>
            <w:shd w:val="clear" w:color="auto" w:fill="auto"/>
            <w:vAlign w:val="center"/>
          </w:tcPr>
          <w:p w14:paraId="32A3E934">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公开内容（要素）</w:t>
            </w:r>
          </w:p>
        </w:tc>
        <w:tc>
          <w:tcPr>
            <w:tcW w:w="3240" w:type="dxa"/>
            <w:vMerge w:val="restart"/>
            <w:shd w:val="clear" w:color="auto" w:fill="auto"/>
            <w:vAlign w:val="center"/>
          </w:tcPr>
          <w:p w14:paraId="55364934">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公开依据</w:t>
            </w:r>
          </w:p>
        </w:tc>
        <w:tc>
          <w:tcPr>
            <w:tcW w:w="1260" w:type="dxa"/>
            <w:vMerge w:val="restart"/>
            <w:shd w:val="clear" w:color="auto" w:fill="auto"/>
            <w:vAlign w:val="center"/>
          </w:tcPr>
          <w:p w14:paraId="1EA33D83">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公开时限</w:t>
            </w:r>
          </w:p>
        </w:tc>
        <w:tc>
          <w:tcPr>
            <w:tcW w:w="1440" w:type="dxa"/>
            <w:vMerge w:val="restart"/>
            <w:shd w:val="clear" w:color="auto" w:fill="auto"/>
            <w:vAlign w:val="center"/>
          </w:tcPr>
          <w:p w14:paraId="777B9A76">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公开主体</w:t>
            </w:r>
          </w:p>
        </w:tc>
        <w:tc>
          <w:tcPr>
            <w:tcW w:w="1080" w:type="dxa"/>
            <w:vMerge w:val="restart"/>
            <w:shd w:val="clear" w:color="auto" w:fill="auto"/>
            <w:vAlign w:val="center"/>
          </w:tcPr>
          <w:p w14:paraId="5BE192D5">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公开渠道和载体</w:t>
            </w:r>
          </w:p>
        </w:tc>
        <w:tc>
          <w:tcPr>
            <w:tcW w:w="1429" w:type="dxa"/>
            <w:gridSpan w:val="2"/>
            <w:shd w:val="clear" w:color="auto" w:fill="auto"/>
            <w:vAlign w:val="center"/>
          </w:tcPr>
          <w:p w14:paraId="77CAD9DB">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公开对象</w:t>
            </w:r>
          </w:p>
        </w:tc>
        <w:tc>
          <w:tcPr>
            <w:tcW w:w="1271" w:type="dxa"/>
            <w:gridSpan w:val="2"/>
            <w:shd w:val="clear" w:color="auto" w:fill="auto"/>
            <w:vAlign w:val="center"/>
          </w:tcPr>
          <w:p w14:paraId="3C1496A7">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公开方式</w:t>
            </w:r>
          </w:p>
        </w:tc>
        <w:tc>
          <w:tcPr>
            <w:tcW w:w="1440" w:type="dxa"/>
            <w:gridSpan w:val="2"/>
            <w:shd w:val="clear" w:color="auto" w:fill="auto"/>
            <w:vAlign w:val="center"/>
          </w:tcPr>
          <w:p w14:paraId="7CE45450">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公开层级</w:t>
            </w:r>
          </w:p>
        </w:tc>
      </w:tr>
      <w:tr w14:paraId="7CB2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767E79F6">
            <w:pPr>
              <w:spacing w:line="240" w:lineRule="exact"/>
              <w:ind w:firstLine="0" w:firstLineChars="0"/>
              <w:jc w:val="center"/>
              <w:rPr>
                <w:rFonts w:hint="eastAsia" w:ascii="仿宋" w:hAnsi="仿宋" w:eastAsia="仿宋" w:cs="仿宋"/>
                <w:sz w:val="18"/>
                <w:szCs w:val="18"/>
              </w:rPr>
            </w:pPr>
          </w:p>
        </w:tc>
        <w:tc>
          <w:tcPr>
            <w:tcW w:w="900" w:type="dxa"/>
            <w:shd w:val="clear" w:color="auto" w:fill="auto"/>
            <w:vAlign w:val="center"/>
          </w:tcPr>
          <w:p w14:paraId="6D19C84D">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一级事项</w:t>
            </w:r>
          </w:p>
        </w:tc>
        <w:tc>
          <w:tcPr>
            <w:tcW w:w="1080" w:type="dxa"/>
            <w:shd w:val="clear" w:color="auto" w:fill="auto"/>
            <w:vAlign w:val="center"/>
          </w:tcPr>
          <w:p w14:paraId="11262E95">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二级事项</w:t>
            </w:r>
          </w:p>
        </w:tc>
        <w:tc>
          <w:tcPr>
            <w:tcW w:w="1800" w:type="dxa"/>
            <w:vMerge w:val="continue"/>
            <w:vAlign w:val="center"/>
          </w:tcPr>
          <w:p w14:paraId="00D5C04E">
            <w:pPr>
              <w:spacing w:line="240" w:lineRule="exact"/>
              <w:ind w:firstLine="0" w:firstLineChars="0"/>
              <w:jc w:val="center"/>
              <w:rPr>
                <w:rFonts w:hint="eastAsia" w:ascii="仿宋" w:hAnsi="仿宋" w:eastAsia="仿宋" w:cs="仿宋"/>
                <w:sz w:val="18"/>
                <w:szCs w:val="18"/>
              </w:rPr>
            </w:pPr>
          </w:p>
        </w:tc>
        <w:tc>
          <w:tcPr>
            <w:tcW w:w="3240" w:type="dxa"/>
            <w:vMerge w:val="continue"/>
            <w:vAlign w:val="center"/>
          </w:tcPr>
          <w:p w14:paraId="233F3054">
            <w:pPr>
              <w:spacing w:line="240" w:lineRule="exact"/>
              <w:ind w:firstLine="0" w:firstLineChars="0"/>
              <w:jc w:val="center"/>
              <w:rPr>
                <w:rFonts w:hint="eastAsia" w:ascii="仿宋" w:hAnsi="仿宋" w:eastAsia="仿宋" w:cs="仿宋"/>
                <w:sz w:val="18"/>
                <w:szCs w:val="18"/>
              </w:rPr>
            </w:pPr>
          </w:p>
        </w:tc>
        <w:tc>
          <w:tcPr>
            <w:tcW w:w="1260" w:type="dxa"/>
            <w:vMerge w:val="continue"/>
            <w:vAlign w:val="center"/>
          </w:tcPr>
          <w:p w14:paraId="4A2DBEA3">
            <w:pPr>
              <w:spacing w:line="240" w:lineRule="exact"/>
              <w:ind w:firstLine="0" w:firstLineChars="0"/>
              <w:jc w:val="center"/>
              <w:rPr>
                <w:rFonts w:hint="eastAsia" w:ascii="仿宋" w:hAnsi="仿宋" w:eastAsia="仿宋" w:cs="仿宋"/>
                <w:sz w:val="18"/>
                <w:szCs w:val="18"/>
              </w:rPr>
            </w:pPr>
          </w:p>
        </w:tc>
        <w:tc>
          <w:tcPr>
            <w:tcW w:w="1440" w:type="dxa"/>
            <w:vMerge w:val="continue"/>
            <w:vAlign w:val="center"/>
          </w:tcPr>
          <w:p w14:paraId="57F75A6D">
            <w:pPr>
              <w:spacing w:line="240" w:lineRule="exact"/>
              <w:ind w:firstLine="0" w:firstLineChars="0"/>
              <w:jc w:val="center"/>
              <w:rPr>
                <w:rFonts w:hint="eastAsia" w:ascii="仿宋" w:hAnsi="仿宋" w:eastAsia="仿宋" w:cs="仿宋"/>
                <w:sz w:val="18"/>
                <w:szCs w:val="18"/>
              </w:rPr>
            </w:pPr>
          </w:p>
        </w:tc>
        <w:tc>
          <w:tcPr>
            <w:tcW w:w="1080" w:type="dxa"/>
            <w:vMerge w:val="continue"/>
            <w:vAlign w:val="center"/>
          </w:tcPr>
          <w:p w14:paraId="4754FCA3">
            <w:pPr>
              <w:spacing w:line="240" w:lineRule="exact"/>
              <w:ind w:firstLine="0" w:firstLineChars="0"/>
              <w:jc w:val="center"/>
              <w:rPr>
                <w:rFonts w:hint="eastAsia" w:ascii="仿宋" w:hAnsi="仿宋" w:eastAsia="仿宋" w:cs="仿宋"/>
                <w:sz w:val="18"/>
                <w:szCs w:val="18"/>
              </w:rPr>
            </w:pPr>
          </w:p>
        </w:tc>
        <w:tc>
          <w:tcPr>
            <w:tcW w:w="720" w:type="dxa"/>
            <w:shd w:val="clear" w:color="auto" w:fill="auto"/>
            <w:vAlign w:val="center"/>
          </w:tcPr>
          <w:p w14:paraId="226CC86B">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全社会</w:t>
            </w:r>
          </w:p>
        </w:tc>
        <w:tc>
          <w:tcPr>
            <w:tcW w:w="709" w:type="dxa"/>
            <w:shd w:val="clear" w:color="auto" w:fill="auto"/>
            <w:vAlign w:val="center"/>
          </w:tcPr>
          <w:p w14:paraId="4251641F">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特定群众</w:t>
            </w:r>
          </w:p>
        </w:tc>
        <w:tc>
          <w:tcPr>
            <w:tcW w:w="551" w:type="dxa"/>
            <w:shd w:val="clear" w:color="auto" w:fill="auto"/>
            <w:vAlign w:val="center"/>
          </w:tcPr>
          <w:p w14:paraId="477ADC64">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主动</w:t>
            </w:r>
          </w:p>
        </w:tc>
        <w:tc>
          <w:tcPr>
            <w:tcW w:w="720" w:type="dxa"/>
            <w:shd w:val="clear" w:color="auto" w:fill="auto"/>
            <w:vAlign w:val="center"/>
          </w:tcPr>
          <w:p w14:paraId="4F65CE15">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依申请公开</w:t>
            </w:r>
          </w:p>
        </w:tc>
        <w:tc>
          <w:tcPr>
            <w:tcW w:w="720" w:type="dxa"/>
            <w:shd w:val="clear" w:color="auto" w:fill="auto"/>
            <w:vAlign w:val="center"/>
          </w:tcPr>
          <w:p w14:paraId="0F9FC8BC">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县级</w:t>
            </w:r>
          </w:p>
        </w:tc>
        <w:tc>
          <w:tcPr>
            <w:tcW w:w="720" w:type="dxa"/>
            <w:shd w:val="clear" w:color="auto" w:fill="auto"/>
            <w:vAlign w:val="center"/>
          </w:tcPr>
          <w:p w14:paraId="7FE4843F">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乡、村级</w:t>
            </w:r>
          </w:p>
        </w:tc>
      </w:tr>
      <w:tr w14:paraId="757B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7F14562">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1</w:t>
            </w:r>
          </w:p>
        </w:tc>
        <w:tc>
          <w:tcPr>
            <w:tcW w:w="900" w:type="dxa"/>
            <w:shd w:val="clear" w:color="auto" w:fill="auto"/>
            <w:vAlign w:val="center"/>
          </w:tcPr>
          <w:p w14:paraId="2CEFC9C8">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法规</w:t>
            </w:r>
          </w:p>
          <w:p w14:paraId="5DFFAD05">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政策</w:t>
            </w:r>
          </w:p>
        </w:tc>
        <w:tc>
          <w:tcPr>
            <w:tcW w:w="1080" w:type="dxa"/>
            <w:shd w:val="clear" w:color="auto" w:fill="auto"/>
            <w:vAlign w:val="center"/>
          </w:tcPr>
          <w:p w14:paraId="349D92A7">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地方层面法规政策</w:t>
            </w:r>
          </w:p>
        </w:tc>
        <w:tc>
          <w:tcPr>
            <w:tcW w:w="1800" w:type="dxa"/>
            <w:shd w:val="clear" w:color="auto" w:fill="auto"/>
            <w:vAlign w:val="center"/>
          </w:tcPr>
          <w:p w14:paraId="1C0FD17C">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内蒙古自治区建设项目使用林地补偿标准。</w:t>
            </w:r>
          </w:p>
        </w:tc>
        <w:tc>
          <w:tcPr>
            <w:tcW w:w="3240" w:type="dxa"/>
            <w:vAlign w:val="center"/>
          </w:tcPr>
          <w:p w14:paraId="25E43A18">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《内蒙古自治区人民政府办公厅关于印发建设项目使用林地补偿标准的通知》(内政办发[2015]138号)</w:t>
            </w:r>
          </w:p>
        </w:tc>
        <w:tc>
          <w:tcPr>
            <w:tcW w:w="1260" w:type="dxa"/>
            <w:vAlign w:val="center"/>
          </w:tcPr>
          <w:p w14:paraId="3F957F77">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信息形成或者变更之日起20个工作日内予以公开</w:t>
            </w:r>
          </w:p>
        </w:tc>
        <w:tc>
          <w:tcPr>
            <w:tcW w:w="1440" w:type="dxa"/>
            <w:vAlign w:val="center"/>
          </w:tcPr>
          <w:p w14:paraId="6547BC6A">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巴林左旗林业和草原局</w:t>
            </w:r>
          </w:p>
        </w:tc>
        <w:tc>
          <w:tcPr>
            <w:tcW w:w="1080" w:type="dxa"/>
            <w:shd w:val="clear" w:color="auto" w:fill="auto"/>
            <w:vAlign w:val="center"/>
          </w:tcPr>
          <w:p w14:paraId="0C141397">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■政府网站</w:t>
            </w:r>
          </w:p>
        </w:tc>
        <w:tc>
          <w:tcPr>
            <w:tcW w:w="720" w:type="dxa"/>
            <w:shd w:val="clear" w:color="auto" w:fill="auto"/>
            <w:vAlign w:val="center"/>
          </w:tcPr>
          <w:p w14:paraId="79403C9A">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w:t>
            </w:r>
          </w:p>
        </w:tc>
        <w:tc>
          <w:tcPr>
            <w:tcW w:w="709" w:type="dxa"/>
            <w:shd w:val="clear" w:color="auto" w:fill="auto"/>
            <w:vAlign w:val="center"/>
          </w:tcPr>
          <w:p w14:paraId="3061DB5A">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　</w:t>
            </w:r>
          </w:p>
        </w:tc>
        <w:tc>
          <w:tcPr>
            <w:tcW w:w="551" w:type="dxa"/>
            <w:shd w:val="clear" w:color="auto" w:fill="auto"/>
            <w:vAlign w:val="center"/>
          </w:tcPr>
          <w:p w14:paraId="3528EBD4">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w:t>
            </w:r>
          </w:p>
        </w:tc>
        <w:tc>
          <w:tcPr>
            <w:tcW w:w="720" w:type="dxa"/>
            <w:shd w:val="clear" w:color="auto" w:fill="auto"/>
            <w:vAlign w:val="center"/>
          </w:tcPr>
          <w:p w14:paraId="7DEBFF93">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　</w:t>
            </w:r>
          </w:p>
        </w:tc>
        <w:tc>
          <w:tcPr>
            <w:tcW w:w="720" w:type="dxa"/>
            <w:shd w:val="clear" w:color="auto" w:fill="auto"/>
            <w:vAlign w:val="center"/>
          </w:tcPr>
          <w:p w14:paraId="61B8A941">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w:t>
            </w:r>
          </w:p>
        </w:tc>
        <w:tc>
          <w:tcPr>
            <w:tcW w:w="720" w:type="dxa"/>
            <w:shd w:val="clear" w:color="auto" w:fill="auto"/>
            <w:vAlign w:val="center"/>
          </w:tcPr>
          <w:p w14:paraId="04421063">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　</w:t>
            </w:r>
          </w:p>
        </w:tc>
      </w:tr>
      <w:tr w14:paraId="63157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8BB6EDF">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2</w:t>
            </w:r>
          </w:p>
        </w:tc>
        <w:tc>
          <w:tcPr>
            <w:tcW w:w="900" w:type="dxa"/>
            <w:shd w:val="clear" w:color="auto" w:fill="auto"/>
            <w:vAlign w:val="center"/>
          </w:tcPr>
          <w:p w14:paraId="69991FE0">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建设项目使用林地情况</w:t>
            </w:r>
          </w:p>
        </w:tc>
        <w:tc>
          <w:tcPr>
            <w:tcW w:w="1080" w:type="dxa"/>
            <w:shd w:val="clear" w:color="auto" w:fill="auto"/>
            <w:vAlign w:val="center"/>
          </w:tcPr>
          <w:p w14:paraId="3268BD6D">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审批要件</w:t>
            </w:r>
          </w:p>
        </w:tc>
        <w:tc>
          <w:tcPr>
            <w:tcW w:w="1800" w:type="dxa"/>
            <w:shd w:val="clear" w:color="auto" w:fill="auto"/>
            <w:vAlign w:val="center"/>
          </w:tcPr>
          <w:p w14:paraId="7737CB65">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建设项目使用林地具体情况，包括坐落、面积、地类、林种等。</w:t>
            </w:r>
          </w:p>
        </w:tc>
        <w:tc>
          <w:tcPr>
            <w:tcW w:w="3240" w:type="dxa"/>
            <w:vAlign w:val="center"/>
          </w:tcPr>
          <w:p w14:paraId="1BAC86B2">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《国家林业局令 第35号》、</w:t>
            </w:r>
          </w:p>
          <w:p w14:paraId="3282E8DD">
            <w:pPr>
              <w:spacing w:line="240" w:lineRule="exact"/>
              <w:ind w:firstLine="0" w:firstLineChars="0"/>
              <w:rPr>
                <w:rFonts w:hint="eastAsia" w:ascii="仿宋" w:hAnsi="仿宋" w:eastAsia="仿宋" w:cs="仿宋"/>
                <w:sz w:val="18"/>
                <w:szCs w:val="18"/>
              </w:rPr>
            </w:pPr>
            <w:r>
              <w:rPr>
                <w:rFonts w:hint="eastAsia" w:ascii="仿宋" w:hAnsi="仿宋" w:eastAsia="仿宋" w:cs="仿宋"/>
                <w:sz w:val="18"/>
                <w:szCs w:val="18"/>
              </w:rPr>
              <w:t>国家林业和草原局关于印发《建设项目使用林地审核审批管理规范》的通知（林资规[2021]5号）</w:t>
            </w:r>
          </w:p>
        </w:tc>
        <w:tc>
          <w:tcPr>
            <w:tcW w:w="1260" w:type="dxa"/>
            <w:vAlign w:val="center"/>
          </w:tcPr>
          <w:p w14:paraId="632C33D6">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自收到申请材料审查无误之日起进行公示，公示时限5个工作日</w:t>
            </w:r>
          </w:p>
        </w:tc>
        <w:tc>
          <w:tcPr>
            <w:tcW w:w="1440" w:type="dxa"/>
            <w:vAlign w:val="center"/>
          </w:tcPr>
          <w:p w14:paraId="31CD7282">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巴林左旗林业和草原局</w:t>
            </w:r>
          </w:p>
        </w:tc>
        <w:tc>
          <w:tcPr>
            <w:tcW w:w="1080" w:type="dxa"/>
            <w:shd w:val="clear" w:color="auto" w:fill="auto"/>
            <w:vAlign w:val="center"/>
          </w:tcPr>
          <w:p w14:paraId="4E0B91C4">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■其他_</w:t>
            </w:r>
          </w:p>
          <w:p w14:paraId="31AEAFEE">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（林地管理单位所在地张贴公示）</w:t>
            </w:r>
          </w:p>
        </w:tc>
        <w:tc>
          <w:tcPr>
            <w:tcW w:w="720" w:type="dxa"/>
            <w:shd w:val="clear" w:color="auto" w:fill="auto"/>
            <w:vAlign w:val="center"/>
          </w:tcPr>
          <w:p w14:paraId="15A01AF9">
            <w:pPr>
              <w:spacing w:line="240" w:lineRule="exact"/>
              <w:ind w:firstLine="0" w:firstLineChars="0"/>
              <w:jc w:val="center"/>
              <w:rPr>
                <w:rFonts w:hint="eastAsia" w:ascii="仿宋" w:hAnsi="仿宋" w:eastAsia="仿宋" w:cs="仿宋"/>
                <w:sz w:val="18"/>
                <w:szCs w:val="18"/>
              </w:rPr>
            </w:pPr>
          </w:p>
        </w:tc>
        <w:tc>
          <w:tcPr>
            <w:tcW w:w="709" w:type="dxa"/>
            <w:shd w:val="clear" w:color="auto" w:fill="auto"/>
            <w:vAlign w:val="center"/>
          </w:tcPr>
          <w:p w14:paraId="3A37904F">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与本事项有利害关系的单位及个人</w:t>
            </w:r>
          </w:p>
        </w:tc>
        <w:tc>
          <w:tcPr>
            <w:tcW w:w="551" w:type="dxa"/>
            <w:shd w:val="clear" w:color="auto" w:fill="auto"/>
            <w:vAlign w:val="center"/>
          </w:tcPr>
          <w:p w14:paraId="00A7F5FA">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w:t>
            </w:r>
          </w:p>
        </w:tc>
        <w:tc>
          <w:tcPr>
            <w:tcW w:w="720" w:type="dxa"/>
            <w:shd w:val="clear" w:color="auto" w:fill="auto"/>
            <w:vAlign w:val="center"/>
          </w:tcPr>
          <w:p w14:paraId="4694320A">
            <w:pPr>
              <w:spacing w:line="240" w:lineRule="exact"/>
              <w:ind w:firstLine="0" w:firstLineChars="0"/>
              <w:jc w:val="center"/>
              <w:rPr>
                <w:rFonts w:hint="eastAsia" w:ascii="仿宋" w:hAnsi="仿宋" w:eastAsia="仿宋" w:cs="仿宋"/>
                <w:sz w:val="18"/>
                <w:szCs w:val="18"/>
              </w:rPr>
            </w:pPr>
          </w:p>
        </w:tc>
        <w:tc>
          <w:tcPr>
            <w:tcW w:w="720" w:type="dxa"/>
            <w:shd w:val="clear" w:color="auto" w:fill="auto"/>
            <w:vAlign w:val="center"/>
          </w:tcPr>
          <w:p w14:paraId="3E5088A5">
            <w:pPr>
              <w:spacing w:line="240" w:lineRule="exact"/>
              <w:ind w:firstLine="0" w:firstLineChars="0"/>
              <w:jc w:val="center"/>
              <w:rPr>
                <w:rFonts w:hint="eastAsia" w:ascii="仿宋" w:hAnsi="仿宋" w:eastAsia="仿宋" w:cs="仿宋"/>
                <w:sz w:val="18"/>
                <w:szCs w:val="18"/>
              </w:rPr>
            </w:pPr>
          </w:p>
        </w:tc>
        <w:tc>
          <w:tcPr>
            <w:tcW w:w="720" w:type="dxa"/>
            <w:shd w:val="clear" w:color="auto" w:fill="auto"/>
            <w:vAlign w:val="center"/>
          </w:tcPr>
          <w:p w14:paraId="3296ED2C">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w:t>
            </w:r>
          </w:p>
        </w:tc>
      </w:tr>
    </w:tbl>
    <w:p w14:paraId="509EA9F1">
      <w:pPr>
        <w:ind w:firstLine="480"/>
      </w:pPr>
    </w:p>
    <w:sectPr>
      <w:headerReference r:id="rId5" w:type="default"/>
      <w:footerReference r:id="rId6" w:type="default"/>
      <w:pgSz w:w="16838" w:h="11906" w:orient="landscape"/>
      <w:pgMar w:top="1800" w:right="1440" w:bottom="1800" w:left="144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EF8AA">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89813">
    <w:pPr>
      <w:pStyle w:val="5"/>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jYWY3NzY4OGY0YzQwMjg4ODk2Mzk3OWUyOWU1ZmQifQ=="/>
  </w:docVars>
  <w:rsids>
    <w:rsidRoot w:val="006102CB"/>
    <w:rsid w:val="00024484"/>
    <w:rsid w:val="000642AB"/>
    <w:rsid w:val="000849FA"/>
    <w:rsid w:val="000D5247"/>
    <w:rsid w:val="00176DB1"/>
    <w:rsid w:val="001E0214"/>
    <w:rsid w:val="003221F4"/>
    <w:rsid w:val="00326A75"/>
    <w:rsid w:val="00377A64"/>
    <w:rsid w:val="003E6210"/>
    <w:rsid w:val="00403C6A"/>
    <w:rsid w:val="00436D8A"/>
    <w:rsid w:val="00461698"/>
    <w:rsid w:val="004638C2"/>
    <w:rsid w:val="00483F9D"/>
    <w:rsid w:val="0057034A"/>
    <w:rsid w:val="005C1113"/>
    <w:rsid w:val="005D3067"/>
    <w:rsid w:val="006102CB"/>
    <w:rsid w:val="00613E08"/>
    <w:rsid w:val="006A4C46"/>
    <w:rsid w:val="006B32E8"/>
    <w:rsid w:val="006E1C42"/>
    <w:rsid w:val="00780538"/>
    <w:rsid w:val="00810CAE"/>
    <w:rsid w:val="00883365"/>
    <w:rsid w:val="008C2BB5"/>
    <w:rsid w:val="008F33B3"/>
    <w:rsid w:val="00983D8F"/>
    <w:rsid w:val="00994D0E"/>
    <w:rsid w:val="009C0EF9"/>
    <w:rsid w:val="009C68B2"/>
    <w:rsid w:val="00A24FA0"/>
    <w:rsid w:val="00AD0838"/>
    <w:rsid w:val="00CA56F8"/>
    <w:rsid w:val="00D20AB5"/>
    <w:rsid w:val="00D52446"/>
    <w:rsid w:val="00E3086A"/>
    <w:rsid w:val="00EB06EA"/>
    <w:rsid w:val="00EC1A2D"/>
    <w:rsid w:val="00EF1325"/>
    <w:rsid w:val="00EF35BE"/>
    <w:rsid w:val="00F171F1"/>
    <w:rsid w:val="00F45BFA"/>
    <w:rsid w:val="10591951"/>
    <w:rsid w:val="2B66351F"/>
    <w:rsid w:val="2C3262D5"/>
    <w:rsid w:val="37F56F40"/>
    <w:rsid w:val="51F13689"/>
    <w:rsid w:val="5B593FB0"/>
    <w:rsid w:val="5E921BA6"/>
    <w:rsid w:val="6C7A42DF"/>
    <w:rsid w:val="766D1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_GB2312" w:asciiTheme="minorHAnsi" w:hAnsiTheme="minorHAnsi" w:cstheme="minorBidi"/>
      <w:kern w:val="2"/>
      <w:sz w:val="24"/>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4"/>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Emphasis"/>
    <w:basedOn w:val="7"/>
    <w:qFormat/>
    <w:uiPriority w:val="20"/>
    <w:rPr>
      <w:i/>
      <w:iCs/>
    </w:rPr>
  </w:style>
  <w:style w:type="character" w:customStyle="1" w:styleId="10">
    <w:name w:val="标题 1 字符"/>
    <w:basedOn w:val="7"/>
    <w:link w:val="2"/>
    <w:qFormat/>
    <w:uiPriority w:val="9"/>
    <w:rPr>
      <w:rFonts w:ascii="宋体" w:hAnsi="宋体" w:eastAsia="宋体" w:cs="宋体"/>
      <w:b/>
      <w:bCs/>
      <w:kern w:val="36"/>
      <w:sz w:val="48"/>
      <w:szCs w:val="48"/>
    </w:rPr>
  </w:style>
  <w:style w:type="character" w:customStyle="1" w:styleId="11">
    <w:name w:val="页眉 字符"/>
    <w:basedOn w:val="7"/>
    <w:link w:val="5"/>
    <w:qFormat/>
    <w:uiPriority w:val="99"/>
    <w:rPr>
      <w:sz w:val="18"/>
      <w:szCs w:val="18"/>
    </w:rPr>
  </w:style>
  <w:style w:type="character" w:customStyle="1" w:styleId="12">
    <w:name w:val="页脚 字符"/>
    <w:basedOn w:val="7"/>
    <w:link w:val="4"/>
    <w:qFormat/>
    <w:uiPriority w:val="99"/>
    <w:rPr>
      <w:sz w:val="18"/>
      <w:szCs w:val="18"/>
    </w:rPr>
  </w:style>
  <w:style w:type="paragraph" w:styleId="13">
    <w:name w:val="List Paragraph"/>
    <w:basedOn w:val="1"/>
    <w:qFormat/>
    <w:uiPriority w:val="34"/>
    <w:pPr>
      <w:ind w:firstLine="420"/>
    </w:pPr>
  </w:style>
  <w:style w:type="character" w:customStyle="1" w:styleId="14">
    <w:name w:val="日期 字符"/>
    <w:basedOn w:val="7"/>
    <w:link w:val="3"/>
    <w:semiHidden/>
    <w:qFormat/>
    <w:uiPriority w:val="99"/>
    <w:rPr>
      <w:rFonts w:eastAsia="仿宋_GB2312"/>
      <w:kern w:val="2"/>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375</Words>
  <Characters>391</Characters>
  <Lines>3</Lines>
  <Paragraphs>1</Paragraphs>
  <TotalTime>32</TotalTime>
  <ScaleCrop>false</ScaleCrop>
  <LinksUpToDate>false</LinksUpToDate>
  <CharactersWithSpaces>395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2020-12-11T07:07:00Z</dcterms:created>
  <dc:creator>ZhengLan</dc:creator>
  <cp:lastModifiedBy>Taoge</cp:lastModifiedBy>
  <dcterms:modified xsi:type="dcterms:W3CDTF">2024-10-31T06:40:21Z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E6BC239DC0C8481582B76DBA5BAB017A_13</vt:lpwstr>
  </property>
</Properties>
</file>